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05" w:lineRule="atLeast"/>
        <w:jc w:val="center"/>
        <w:rPr>
          <w:rFonts w:ascii="Arial" w:hAnsi="Arial" w:cs="Arial"/>
          <w:color w:val="000000" w:themeColor="text1"/>
          <w:kern w:val="0"/>
          <w:sz w:val="30"/>
          <w:szCs w:val="30"/>
          <w14:textFill>
            <w14:solidFill>
              <w14:schemeClr w14:val="tx1"/>
            </w14:solidFill>
          </w14:textFill>
        </w:rPr>
      </w:pPr>
      <w:bookmarkStart w:id="0" w:name="_GoBack"/>
      <w:r>
        <w:rPr>
          <w:rFonts w:hint="eastAsia"/>
          <w:color w:val="000000" w:themeColor="text1"/>
          <w:sz w:val="30"/>
          <w:szCs w:val="30"/>
          <w14:textFill>
            <w14:solidFill>
              <w14:schemeClr w14:val="tx1"/>
            </w14:solidFill>
          </w14:textFill>
        </w:rPr>
        <w:t>证券投资基金投资</w:t>
      </w:r>
      <w:r>
        <w:rPr>
          <w:rFonts w:hint="eastAsia"/>
          <w:color w:val="000000" w:themeColor="text1"/>
          <w:sz w:val="30"/>
          <w:szCs w:val="30"/>
          <w:lang w:eastAsia="zh-CN"/>
          <w14:textFill>
            <w14:solidFill>
              <w14:schemeClr w14:val="tx1"/>
            </w14:solidFill>
          </w14:textFill>
        </w:rPr>
        <w:t>人</w:t>
      </w:r>
      <w:r>
        <w:rPr>
          <w:rFonts w:hint="eastAsia"/>
          <w:color w:val="000000" w:themeColor="text1"/>
          <w:sz w:val="30"/>
          <w:szCs w:val="30"/>
          <w14:textFill>
            <w14:solidFill>
              <w14:schemeClr w14:val="tx1"/>
            </w14:solidFill>
          </w14:textFill>
        </w:rPr>
        <w:t>权益须知</w:t>
      </w:r>
    </w:p>
    <w:bookmarkEnd w:id="0"/>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尊敬的基金投资人：</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hint="eastAsia" w:ascii="Arial" w:hAnsi="Arial" w:cs="Arial"/>
          <w:b/>
          <w:bCs/>
          <w:color w:val="000000" w:themeColor="text1"/>
          <w:kern w:val="0"/>
          <w:szCs w:val="21"/>
          <w14:textFill>
            <w14:solidFill>
              <w14:schemeClr w14:val="tx1"/>
            </w14:solidFill>
          </w14:textFill>
        </w:rPr>
        <w:t>基金投资在获取收益的同时存在投资风险。为了保护您的合法权益，请在投资基金前认真阅读以下内容：</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b/>
          <w:bCs/>
          <w:color w:val="000000" w:themeColor="text1"/>
          <w:kern w:val="0"/>
          <w:szCs w:val="21"/>
          <w14:textFill>
            <w14:solidFill>
              <w14:schemeClr w14:val="tx1"/>
            </w14:solidFill>
          </w14:textFill>
        </w:rPr>
        <w:t>　　一、基金的基本知识</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（一）什么是基金</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证券投资基金（简称基金）是指通过发售基金份额，将众多投资者的资金集中起来，形成独立财产，由基金托管人托管，基金管理人管理，以投资组合的方法进行证券投资的一种</w:t>
      </w:r>
      <w:r>
        <w:rPr>
          <w:rFonts w:hint="eastAsia" w:ascii="Arial" w:hAnsi="Arial" w:cs="Arial"/>
          <w:b/>
          <w:bCs/>
          <w:color w:val="000000" w:themeColor="text1"/>
          <w:kern w:val="0"/>
          <w:szCs w:val="21"/>
          <w14:textFill>
            <w14:solidFill>
              <w14:schemeClr w14:val="tx1"/>
            </w14:solidFill>
          </w14:textFill>
        </w:rPr>
        <w:t>利益共享、风险共担</w:t>
      </w:r>
      <w:r>
        <w:rPr>
          <w:rFonts w:hint="eastAsia" w:ascii="Arial" w:hAnsi="Arial" w:cs="Arial"/>
          <w:color w:val="000000" w:themeColor="text1"/>
          <w:kern w:val="0"/>
          <w:szCs w:val="21"/>
          <w14:textFill>
            <w14:solidFill>
              <w14:schemeClr w14:val="tx1"/>
            </w14:solidFill>
          </w14:textFill>
        </w:rPr>
        <w:t>的集合投资方式。</w:t>
      </w:r>
    </w:p>
    <w:p>
      <w:pPr>
        <w:widowControl/>
        <w:numPr>
          <w:ilvl w:val="0"/>
          <w:numId w:val="1"/>
        </w:numPr>
        <w:spacing w:before="240" w:line="405" w:lineRule="atLeast"/>
        <w:ind w:left="420" w:leftChars="0" w:firstLine="0" w:firstLineChars="0"/>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基金与股票、债券、储蓄存款等其它金融工具的区别</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556"/>
        <w:gridCol w:w="1644"/>
        <w:gridCol w:w="151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Align w:val="center"/>
          </w:tcPr>
          <w:p>
            <w:pPr>
              <w:jc w:val="center"/>
              <w:rPr>
                <w:rFonts w:hint="eastAsia" w:ascii="Arial" w:hAnsi="Arial" w:cs="Arial"/>
                <w:b/>
                <w:bCs/>
                <w:color w:val="000000" w:themeColor="text1"/>
                <w:kern w:val="0"/>
                <w:szCs w:val="21"/>
                <w:vertAlign w:val="baseline"/>
                <w14:textFill>
                  <w14:solidFill>
                    <w14:schemeClr w14:val="tx1"/>
                  </w14:solidFill>
                </w14:textFill>
              </w:rPr>
            </w:pPr>
          </w:p>
        </w:tc>
        <w:tc>
          <w:tcPr>
            <w:tcW w:w="2556" w:type="dxa"/>
            <w:vAlign w:val="center"/>
          </w:tcPr>
          <w:p>
            <w:pPr>
              <w:keepNext w:val="0"/>
              <w:keepLines w:val="0"/>
              <w:widowControl/>
              <w:suppressLineNumbers w:val="0"/>
              <w:jc w:val="center"/>
              <w:textAlignment w:val="center"/>
              <w:rPr>
                <w:rFonts w:hint="eastAsia" w:ascii="Arial" w:hAnsi="Arial" w:cs="Arial"/>
                <w:b/>
                <w:bCs/>
                <w:color w:val="000000" w:themeColor="text1"/>
                <w:kern w:val="0"/>
                <w:szCs w:val="21"/>
                <w:vertAlign w:val="baseline"/>
                <w14:textFill>
                  <w14:solidFill>
                    <w14:schemeClr w14:val="tx1"/>
                  </w14:solidFill>
                </w14:textFill>
              </w:rPr>
            </w:pPr>
            <w:r>
              <w:rPr>
                <w:rFonts w:hint="eastAsia" w:ascii="宋体" w:hAnsi="宋体" w:eastAsia="宋体" w:cs="宋体"/>
                <w:b/>
                <w:bCs/>
                <w:i w:val="0"/>
                <w:color w:val="000000"/>
                <w:kern w:val="0"/>
                <w:sz w:val="22"/>
                <w:szCs w:val="22"/>
                <w:u w:val="none"/>
                <w:lang w:val="en-US" w:eastAsia="zh-CN" w:bidi="ar"/>
              </w:rPr>
              <w:t>基金</w:t>
            </w:r>
          </w:p>
        </w:tc>
        <w:tc>
          <w:tcPr>
            <w:tcW w:w="1644" w:type="dxa"/>
            <w:vAlign w:val="center"/>
          </w:tcPr>
          <w:p>
            <w:pPr>
              <w:keepNext w:val="0"/>
              <w:keepLines w:val="0"/>
              <w:widowControl/>
              <w:suppressLineNumbers w:val="0"/>
              <w:jc w:val="center"/>
              <w:textAlignment w:val="center"/>
              <w:rPr>
                <w:rFonts w:hint="eastAsia" w:ascii="Arial" w:hAnsi="Arial" w:cs="Arial"/>
                <w:b/>
                <w:bCs/>
                <w:color w:val="000000" w:themeColor="text1"/>
                <w:kern w:val="0"/>
                <w:szCs w:val="21"/>
                <w:vertAlign w:val="baseline"/>
                <w14:textFill>
                  <w14:solidFill>
                    <w14:schemeClr w14:val="tx1"/>
                  </w14:solidFill>
                </w14:textFill>
              </w:rPr>
            </w:pPr>
            <w:r>
              <w:rPr>
                <w:rFonts w:hint="eastAsia" w:ascii="宋体" w:hAnsi="宋体" w:eastAsia="宋体" w:cs="宋体"/>
                <w:b/>
                <w:bCs/>
                <w:i w:val="0"/>
                <w:color w:val="000000"/>
                <w:kern w:val="0"/>
                <w:sz w:val="22"/>
                <w:szCs w:val="22"/>
                <w:u w:val="none"/>
                <w:lang w:val="en-US" w:eastAsia="zh-CN" w:bidi="ar"/>
              </w:rPr>
              <w:t>股票</w:t>
            </w:r>
          </w:p>
        </w:tc>
        <w:tc>
          <w:tcPr>
            <w:tcW w:w="1519" w:type="dxa"/>
            <w:vAlign w:val="center"/>
          </w:tcPr>
          <w:p>
            <w:pPr>
              <w:keepNext w:val="0"/>
              <w:keepLines w:val="0"/>
              <w:widowControl/>
              <w:suppressLineNumbers w:val="0"/>
              <w:jc w:val="center"/>
              <w:textAlignment w:val="center"/>
              <w:rPr>
                <w:rFonts w:hint="eastAsia" w:ascii="Arial" w:hAnsi="Arial" w:cs="Arial"/>
                <w:b/>
                <w:bCs/>
                <w:color w:val="000000" w:themeColor="text1"/>
                <w:kern w:val="0"/>
                <w:szCs w:val="21"/>
                <w:vertAlign w:val="baseline"/>
                <w14:textFill>
                  <w14:solidFill>
                    <w14:schemeClr w14:val="tx1"/>
                  </w14:solidFill>
                </w14:textFill>
              </w:rPr>
            </w:pPr>
            <w:r>
              <w:rPr>
                <w:rFonts w:hint="eastAsia" w:ascii="宋体" w:hAnsi="宋体" w:eastAsia="宋体" w:cs="宋体"/>
                <w:b/>
                <w:bCs/>
                <w:i w:val="0"/>
                <w:color w:val="000000"/>
                <w:kern w:val="0"/>
                <w:sz w:val="22"/>
                <w:szCs w:val="22"/>
                <w:u w:val="none"/>
                <w:lang w:val="en-US" w:eastAsia="zh-CN" w:bidi="ar"/>
              </w:rPr>
              <w:t>债券</w:t>
            </w:r>
          </w:p>
        </w:tc>
        <w:tc>
          <w:tcPr>
            <w:tcW w:w="1705" w:type="dxa"/>
            <w:vAlign w:val="center"/>
          </w:tcPr>
          <w:p>
            <w:pPr>
              <w:keepNext w:val="0"/>
              <w:keepLines w:val="0"/>
              <w:widowControl/>
              <w:suppressLineNumbers w:val="0"/>
              <w:jc w:val="center"/>
              <w:textAlignment w:val="center"/>
              <w:rPr>
                <w:rFonts w:hint="eastAsia" w:ascii="Arial" w:hAnsi="Arial" w:cs="Arial"/>
                <w:b/>
                <w:bCs/>
                <w:color w:val="000000" w:themeColor="text1"/>
                <w:kern w:val="0"/>
                <w:szCs w:val="21"/>
                <w:vertAlign w:val="baseline"/>
                <w14:textFill>
                  <w14:solidFill>
                    <w14:schemeClr w14:val="tx1"/>
                  </w14:solidFill>
                </w14:textFill>
              </w:rPr>
            </w:pPr>
            <w:r>
              <w:rPr>
                <w:rFonts w:hint="eastAsia" w:ascii="宋体" w:hAnsi="宋体" w:eastAsia="宋体" w:cs="宋体"/>
                <w:b/>
                <w:bCs/>
                <w:i w:val="0"/>
                <w:color w:val="000000"/>
                <w:kern w:val="0"/>
                <w:sz w:val="22"/>
                <w:szCs w:val="22"/>
                <w:u w:val="none"/>
                <w:lang w:val="en-US" w:eastAsia="zh-CN" w:bidi="ar"/>
              </w:rPr>
              <w:t>银行储蓄存款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反映的经济关系不同</w:t>
            </w:r>
          </w:p>
        </w:tc>
        <w:tc>
          <w:tcPr>
            <w:tcW w:w="2556"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信托关系，是一种受益凭证，投资者购买基金份额后成为基金受益人，基金管理人只是替投资者管理资金，并不承担投资损失风险</w:t>
            </w:r>
          </w:p>
        </w:tc>
        <w:tc>
          <w:tcPr>
            <w:tcW w:w="1644" w:type="dxa"/>
            <w:vAlign w:val="center"/>
          </w:tcPr>
          <w:p>
            <w:pPr>
              <w:keepNext w:val="0"/>
              <w:keepLines w:val="0"/>
              <w:widowControl/>
              <w:suppressLineNumbers w:val="0"/>
              <w:jc w:val="center"/>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所有权关系，是一种所有权凭证，投资者购买后成为公司股东</w:t>
            </w:r>
          </w:p>
        </w:tc>
        <w:tc>
          <w:tcPr>
            <w:tcW w:w="1519"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债权债务关系，是一种债权凭证，投资者购买后成为该公司债权人</w:t>
            </w:r>
          </w:p>
        </w:tc>
        <w:tc>
          <w:tcPr>
            <w:tcW w:w="1705"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表现为银行的负债，是一种信用凭证，银行对存款者负有法定的保本付息责任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所筹资金的投向不同</w:t>
            </w:r>
          </w:p>
        </w:tc>
        <w:tc>
          <w:tcPr>
            <w:tcW w:w="2556"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间接投资工具，主要投向股票、债券等有价证券</w:t>
            </w:r>
          </w:p>
        </w:tc>
        <w:tc>
          <w:tcPr>
            <w:tcW w:w="1644"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直接投资工具，主要投向实业领域</w:t>
            </w:r>
          </w:p>
        </w:tc>
        <w:tc>
          <w:tcPr>
            <w:tcW w:w="1519"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直接投资工具，主要投向实业领域</w:t>
            </w:r>
          </w:p>
        </w:tc>
        <w:tc>
          <w:tcPr>
            <w:tcW w:w="1705"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间接投资工具，银行负责资金用途和投向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投资收益与风险大小不同</w:t>
            </w:r>
          </w:p>
        </w:tc>
        <w:tc>
          <w:tcPr>
            <w:tcW w:w="2556"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投资于众多有价证券，能有效分散风险，风险相对适中，收益相对稳健</w:t>
            </w:r>
          </w:p>
        </w:tc>
        <w:tc>
          <w:tcPr>
            <w:tcW w:w="1644"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价格波动性大，高风险、高收益</w:t>
            </w:r>
          </w:p>
        </w:tc>
        <w:tc>
          <w:tcPr>
            <w:tcW w:w="1519"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价格波动较股票小，低风险、低收益</w:t>
            </w:r>
          </w:p>
        </w:tc>
        <w:tc>
          <w:tcPr>
            <w:tcW w:w="1705"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银行存款利率相对固定，损失本金的可能性很小，投资比较安全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收益来源</w:t>
            </w:r>
          </w:p>
        </w:tc>
        <w:tc>
          <w:tcPr>
            <w:tcW w:w="2556"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利息收入、股利收入、资本利得</w:t>
            </w:r>
          </w:p>
        </w:tc>
        <w:tc>
          <w:tcPr>
            <w:tcW w:w="1644"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股利收入、资本利得</w:t>
            </w:r>
          </w:p>
        </w:tc>
        <w:tc>
          <w:tcPr>
            <w:tcW w:w="1519"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利息收入、资本利得</w:t>
            </w:r>
          </w:p>
        </w:tc>
        <w:tc>
          <w:tcPr>
            <w:tcW w:w="1705"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利息收入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投资渠道</w:t>
            </w:r>
          </w:p>
        </w:tc>
        <w:tc>
          <w:tcPr>
            <w:tcW w:w="2556"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基金管理公司及银行、证券公司等代销机构</w:t>
            </w:r>
          </w:p>
        </w:tc>
        <w:tc>
          <w:tcPr>
            <w:tcW w:w="1644"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证券公司</w:t>
            </w:r>
          </w:p>
        </w:tc>
        <w:tc>
          <w:tcPr>
            <w:tcW w:w="1519"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债券发行机构、证券公司及银行等代销机构</w:t>
            </w:r>
          </w:p>
        </w:tc>
        <w:tc>
          <w:tcPr>
            <w:tcW w:w="1705" w:type="dxa"/>
            <w:vAlign w:val="center"/>
          </w:tcPr>
          <w:p>
            <w:pPr>
              <w:keepNext w:val="0"/>
              <w:keepLines w:val="0"/>
              <w:widowControl/>
              <w:suppressLineNumbers w:val="0"/>
              <w:jc w:val="left"/>
              <w:textAlignment w:val="center"/>
              <w:rPr>
                <w:rFonts w:hint="eastAsia" w:ascii="Arial" w:hAnsi="Arial" w:cs="Arial"/>
                <w:color w:val="000000" w:themeColor="text1"/>
                <w:kern w:val="0"/>
                <w:szCs w:val="21"/>
                <w:vertAlign w:val="baseli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银行、信用社、邮政储蓄银行</w:t>
            </w:r>
          </w:p>
        </w:tc>
      </w:tr>
    </w:tbl>
    <w:p>
      <w:pPr>
        <w:widowControl/>
        <w:numPr>
          <w:ilvl w:val="0"/>
          <w:numId w:val="0"/>
        </w:numPr>
        <w:spacing w:before="240" w:line="405" w:lineRule="atLeast"/>
        <w:ind w:left="420" w:leftChars="0"/>
        <w:jc w:val="left"/>
        <w:rPr>
          <w:rFonts w:hint="eastAsia" w:ascii="Arial" w:hAnsi="Arial" w:cs="Arial"/>
          <w:color w:val="000000" w:themeColor="text1"/>
          <w:kern w:val="0"/>
          <w:szCs w:val="21"/>
          <w14:textFill>
            <w14:solidFill>
              <w14:schemeClr w14:val="tx1"/>
            </w14:solidFill>
          </w14:textFill>
        </w:rPr>
      </w:pPr>
    </w:p>
    <w:p>
      <w:pPr>
        <w:widowControl/>
        <w:spacing w:before="240" w:line="405" w:lineRule="atLeast"/>
        <w:jc w:val="center"/>
        <w:rPr>
          <w:rFonts w:ascii="Arial" w:hAnsi="Arial" w:cs="Arial"/>
          <w:color w:val="000000" w:themeColor="text1"/>
          <w:kern w:val="0"/>
          <w:szCs w:val="21"/>
          <w14:textFill>
            <w14:solidFill>
              <w14:schemeClr w14:val="tx1"/>
            </w14:solidFill>
          </w14:textFill>
        </w:rPr>
      </w:pP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（三）基金的分类</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1</w:t>
      </w:r>
      <w:r>
        <w:rPr>
          <w:rFonts w:hint="eastAsia" w:ascii="Arial" w:hAnsi="Arial" w:cs="Arial"/>
          <w:color w:val="000000" w:themeColor="text1"/>
          <w:kern w:val="0"/>
          <w:szCs w:val="21"/>
          <w14:textFill>
            <w14:solidFill>
              <w14:schemeClr w14:val="tx1"/>
            </w14:solidFill>
          </w14:textFill>
        </w:rPr>
        <w:t>、依据运作方式的不同，可分为封闭式基金与开放式基金。</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封闭式基金是指基金份额在基金合同期限内固定不变，基金份额可以在依法设立的证券交易所交易，但基金份额持有人</w:t>
      </w:r>
      <w:r>
        <w:rPr>
          <w:rFonts w:hint="eastAsia" w:ascii="Arial" w:hAnsi="Arial" w:cs="Arial"/>
          <w:b/>
          <w:bCs/>
          <w:color w:val="000000" w:themeColor="text1"/>
          <w:kern w:val="0"/>
          <w:szCs w:val="21"/>
          <w14:textFill>
            <w14:solidFill>
              <w14:schemeClr w14:val="tx1"/>
            </w14:solidFill>
          </w14:textFill>
        </w:rPr>
        <w:t>不得</w:t>
      </w:r>
      <w:r>
        <w:rPr>
          <w:rFonts w:hint="eastAsia" w:ascii="Arial" w:hAnsi="Arial" w:cs="Arial"/>
          <w:color w:val="000000" w:themeColor="text1"/>
          <w:kern w:val="0"/>
          <w:szCs w:val="21"/>
          <w14:textFill>
            <w14:solidFill>
              <w14:schemeClr w14:val="tx1"/>
            </w14:solidFill>
          </w14:textFill>
        </w:rPr>
        <w:t>申请赎回的一种基金运作方式。</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开放式基金是指</w:t>
      </w:r>
      <w:r>
        <w:rPr>
          <w:rFonts w:hint="eastAsia" w:ascii="Arial" w:hAnsi="Arial" w:cs="Arial"/>
          <w:b/>
          <w:bCs/>
          <w:color w:val="000000" w:themeColor="text1"/>
          <w:kern w:val="0"/>
          <w:szCs w:val="21"/>
          <w14:textFill>
            <w14:solidFill>
              <w14:schemeClr w14:val="tx1"/>
            </w14:solidFill>
          </w14:textFill>
        </w:rPr>
        <w:t>基金份额不固定</w:t>
      </w:r>
      <w:r>
        <w:rPr>
          <w:rFonts w:hint="eastAsia" w:ascii="Arial" w:hAnsi="Arial" w:cs="Arial"/>
          <w:color w:val="000000" w:themeColor="text1"/>
          <w:kern w:val="0"/>
          <w:szCs w:val="21"/>
          <w14:textFill>
            <w14:solidFill>
              <w14:schemeClr w14:val="tx1"/>
            </w14:solidFill>
          </w14:textFill>
        </w:rPr>
        <w:t>，基金份额可以在基金合同约定的时间和场所进行申购和赎回的一种基金运作方式。</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2</w:t>
      </w:r>
      <w:r>
        <w:rPr>
          <w:rFonts w:hint="eastAsia" w:ascii="Arial" w:hAnsi="Arial" w:cs="Arial"/>
          <w:color w:val="000000" w:themeColor="text1"/>
          <w:kern w:val="0"/>
          <w:szCs w:val="21"/>
          <w14:textFill>
            <w14:solidFill>
              <w14:schemeClr w14:val="tx1"/>
            </w14:solidFill>
          </w14:textFill>
        </w:rPr>
        <w:t>、依据投资对象的不同，可分为股票基金、债券基金、货币市场基金、混合基金</w:t>
      </w:r>
    </w:p>
    <w:p>
      <w:pPr>
        <w:widowControl/>
        <w:spacing w:before="240" w:line="405" w:lineRule="atLeast"/>
        <w:ind w:firstLine="420"/>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根据《公开募集证券投资基金运作管理办法》对基金类别的分类标准，8</w:t>
      </w:r>
      <w:r>
        <w:rPr>
          <w:rFonts w:ascii="Arial" w:hAnsi="Arial" w:cs="Arial"/>
          <w:color w:val="000000" w:themeColor="text1"/>
          <w:kern w:val="0"/>
          <w:szCs w:val="21"/>
          <w14:textFill>
            <w14:solidFill>
              <w14:schemeClr w14:val="tx1"/>
            </w14:solidFill>
          </w14:textFill>
        </w:rPr>
        <w:t>0%</w:t>
      </w:r>
      <w:r>
        <w:rPr>
          <w:rFonts w:hint="eastAsia" w:ascii="Arial" w:hAnsi="Arial" w:cs="Arial"/>
          <w:color w:val="000000" w:themeColor="text1"/>
          <w:kern w:val="0"/>
          <w:szCs w:val="21"/>
          <w14:textFill>
            <w14:solidFill>
              <w14:schemeClr w14:val="tx1"/>
            </w14:solidFill>
          </w14:textFill>
        </w:rPr>
        <w:t>以上的基金资产投资于股票的为股票基金；</w:t>
      </w:r>
      <w:r>
        <w:rPr>
          <w:rFonts w:ascii="Arial" w:hAnsi="Arial" w:cs="Arial"/>
          <w:color w:val="000000" w:themeColor="text1"/>
          <w:kern w:val="0"/>
          <w:szCs w:val="21"/>
          <w14:textFill>
            <w14:solidFill>
              <w14:schemeClr w14:val="tx1"/>
            </w14:solidFill>
          </w14:textFill>
        </w:rPr>
        <w:t>80%</w:t>
      </w:r>
      <w:r>
        <w:rPr>
          <w:rFonts w:hint="eastAsia" w:ascii="Arial" w:hAnsi="Arial" w:cs="Arial"/>
          <w:color w:val="000000" w:themeColor="text1"/>
          <w:kern w:val="0"/>
          <w:szCs w:val="21"/>
          <w14:textFill>
            <w14:solidFill>
              <w14:schemeClr w14:val="tx1"/>
            </w14:solidFill>
          </w14:textFill>
        </w:rPr>
        <w:t>以上的基金资产投资于债券的为债券基金；仅投资于货币市场工具的为货币市场基金；投资于股票、债券和货币市场工具，但股票投资和债券投资的比例不符合股票基金、债券基金规定的为混合基金。</w:t>
      </w:r>
    </w:p>
    <w:p>
      <w:pPr>
        <w:widowControl/>
        <w:spacing w:before="240" w:line="405" w:lineRule="atLeast"/>
        <w:ind w:firstLine="42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这些基金类别按收益和风险由高到低的排列顺序为：股票基金、混合基金、债券基金、货币市场基金，即股票基金的风险和收益最高，货币市场基金的风险和收益最低。</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3</w:t>
      </w:r>
      <w:r>
        <w:rPr>
          <w:rFonts w:hint="eastAsia" w:ascii="Arial" w:hAnsi="Arial" w:cs="Arial"/>
          <w:color w:val="000000" w:themeColor="text1"/>
          <w:kern w:val="0"/>
          <w:szCs w:val="21"/>
          <w14:textFill>
            <w14:solidFill>
              <w14:schemeClr w14:val="tx1"/>
            </w14:solidFill>
          </w14:textFill>
        </w:rPr>
        <w:t>、特殊类型基金</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1</w:t>
      </w:r>
      <w:r>
        <w:rPr>
          <w:rFonts w:hint="eastAsia" w:ascii="Arial" w:hAnsi="Arial" w:cs="Arial"/>
          <w:color w:val="000000" w:themeColor="text1"/>
          <w:kern w:val="0"/>
          <w:szCs w:val="21"/>
          <w14:textFill>
            <w14:solidFill>
              <w14:schemeClr w14:val="tx1"/>
            </w14:solidFill>
          </w14:textFill>
        </w:rPr>
        <w:t>）系列基金。又被称为伞型基金，是指多个基金共用一个基金合同</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子基金独立运作</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子基金之间可以进行相互转换的一种基金结构形式。</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2</w:t>
      </w:r>
      <w:r>
        <w:rPr>
          <w:rFonts w:hint="eastAsia" w:ascii="Arial" w:hAnsi="Arial" w:cs="Arial"/>
          <w:color w:val="000000" w:themeColor="text1"/>
          <w:kern w:val="0"/>
          <w:szCs w:val="21"/>
          <w14:textFill>
            <w14:solidFill>
              <w14:schemeClr w14:val="tx1"/>
            </w14:solidFill>
          </w14:textFill>
        </w:rPr>
        <w:t>）保本基金。是指通过一定的保本投资策略进行运作，同时引入保本保障机制，以保证基金份额持有人在保本周期到期时，可以获得投资本金保证的基金。</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3</w:t>
      </w:r>
      <w:r>
        <w:rPr>
          <w:rFonts w:hint="eastAsia" w:ascii="Arial" w:hAnsi="Arial" w:cs="Arial"/>
          <w:color w:val="000000" w:themeColor="text1"/>
          <w:kern w:val="0"/>
          <w:szCs w:val="21"/>
          <w14:textFill>
            <w14:solidFill>
              <w14:schemeClr w14:val="tx1"/>
            </w14:solidFill>
          </w14:textFill>
        </w:rPr>
        <w:t>）交易型开放式指数基金</w:t>
      </w:r>
      <w:r>
        <w:rPr>
          <w:rFonts w:ascii="Arial" w:hAnsi="Arial" w:cs="Arial"/>
          <w:color w:val="000000" w:themeColor="text1"/>
          <w:kern w:val="0"/>
          <w:szCs w:val="21"/>
          <w14:textFill>
            <w14:solidFill>
              <w14:schemeClr w14:val="tx1"/>
            </w14:solidFill>
          </w14:textFill>
        </w:rPr>
        <w:t>(ETF)</w:t>
      </w:r>
      <w:r>
        <w:rPr>
          <w:rFonts w:hint="eastAsia" w:ascii="Arial" w:hAnsi="Arial" w:cs="Arial"/>
          <w:color w:val="000000" w:themeColor="text1"/>
          <w:kern w:val="0"/>
          <w:szCs w:val="21"/>
          <w14:textFill>
            <w14:solidFill>
              <w14:schemeClr w14:val="tx1"/>
            </w14:solidFill>
          </w14:textFill>
        </w:rPr>
        <w:t>与</w:t>
      </w:r>
      <w:r>
        <w:rPr>
          <w:rFonts w:ascii="Arial" w:hAnsi="Arial" w:cs="Arial"/>
          <w:color w:val="000000" w:themeColor="text1"/>
          <w:kern w:val="0"/>
          <w:szCs w:val="21"/>
          <w14:textFill>
            <w14:solidFill>
              <w14:schemeClr w14:val="tx1"/>
            </w14:solidFill>
          </w14:textFill>
        </w:rPr>
        <w:t>ETF</w:t>
      </w:r>
      <w:r>
        <w:rPr>
          <w:rFonts w:hint="eastAsia" w:ascii="Arial" w:hAnsi="Arial" w:cs="Arial"/>
          <w:color w:val="000000" w:themeColor="text1"/>
          <w:kern w:val="0"/>
          <w:szCs w:val="21"/>
          <w14:textFill>
            <w14:solidFill>
              <w14:schemeClr w14:val="tx1"/>
            </w14:solidFill>
          </w14:textFill>
        </w:rPr>
        <w:t>联接基金。交易型开放式指数基金</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通常又被称为交易所交易基金</w:t>
      </w:r>
      <w:r>
        <w:rPr>
          <w:rFonts w:ascii="Arial" w:hAnsi="Arial" w:cs="Arial"/>
          <w:color w:val="000000" w:themeColor="text1"/>
          <w:kern w:val="0"/>
          <w:szCs w:val="21"/>
          <w14:textFill>
            <w14:solidFill>
              <w14:schemeClr w14:val="tx1"/>
            </w14:solidFill>
          </w14:textFill>
        </w:rPr>
        <w:t>(Exchange Traded Funds,</w:t>
      </w:r>
      <w:r>
        <w:rPr>
          <w:rFonts w:hint="eastAsia" w:ascii="Arial" w:hAnsi="Arial" w:cs="Arial"/>
          <w:color w:val="000000" w:themeColor="text1"/>
          <w:kern w:val="0"/>
          <w:szCs w:val="21"/>
          <w14:textFill>
            <w14:solidFill>
              <w14:schemeClr w14:val="tx1"/>
            </w14:solidFill>
          </w14:textFill>
        </w:rPr>
        <w:t>简称</w:t>
      </w:r>
      <w:r>
        <w:rPr>
          <w:rFonts w:ascii="Arial" w:hAnsi="Arial" w:cs="Arial"/>
          <w:color w:val="000000" w:themeColor="text1"/>
          <w:kern w:val="0"/>
          <w:szCs w:val="21"/>
          <w14:textFill>
            <w14:solidFill>
              <w14:schemeClr w14:val="tx1"/>
            </w14:solidFill>
          </w14:textFill>
        </w:rPr>
        <w:t>“ETF”),</w:t>
      </w:r>
      <w:r>
        <w:rPr>
          <w:rFonts w:hint="eastAsia" w:ascii="Arial" w:hAnsi="Arial" w:cs="Arial"/>
          <w:color w:val="000000" w:themeColor="text1"/>
          <w:kern w:val="0"/>
          <w:szCs w:val="21"/>
          <w14:textFill>
            <w14:solidFill>
              <w14:schemeClr w14:val="tx1"/>
            </w14:solidFill>
          </w14:textFill>
        </w:rPr>
        <w:t>是一种在交易所上市交易的、基金份额可变的一种开放式基金。它结合了开放式基金和封闭式基金的运作特点，其份额可以在二级市场买卖，也可以申购、赎回。</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但是，由于它的申购是用一篮子成份券换取基金份额，赎回也是换回一篮子成份券而非现金。为方便未参与二级市场交易的投资者，就诞生了</w:t>
      </w:r>
      <w:r>
        <w:rPr>
          <w:rFonts w:ascii="Arial" w:hAnsi="Arial" w:cs="Arial"/>
          <w:color w:val="000000" w:themeColor="text1"/>
          <w:kern w:val="0"/>
          <w:szCs w:val="21"/>
          <w14:textFill>
            <w14:solidFill>
              <w14:schemeClr w14:val="tx1"/>
            </w14:solidFill>
          </w14:textFill>
        </w:rPr>
        <w:t>“ETF</w:t>
      </w:r>
      <w:r>
        <w:rPr>
          <w:rFonts w:hint="eastAsia" w:ascii="Arial" w:hAnsi="Arial" w:cs="Arial"/>
          <w:color w:val="000000" w:themeColor="text1"/>
          <w:kern w:val="0"/>
          <w:szCs w:val="21"/>
          <w14:textFill>
            <w14:solidFill>
              <w14:schemeClr w14:val="tx1"/>
            </w14:solidFill>
          </w14:textFill>
        </w:rPr>
        <w:t>联接基金</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，这种基金将</w:t>
      </w:r>
      <w:r>
        <w:rPr>
          <w:rFonts w:ascii="Arial" w:hAnsi="Arial" w:cs="Arial"/>
          <w:color w:val="000000" w:themeColor="text1"/>
          <w:kern w:val="0"/>
          <w:szCs w:val="21"/>
          <w14:textFill>
            <w14:solidFill>
              <w14:schemeClr w14:val="tx1"/>
            </w14:solidFill>
          </w14:textFill>
        </w:rPr>
        <w:t>90%</w:t>
      </w:r>
      <w:r>
        <w:rPr>
          <w:rFonts w:hint="eastAsia" w:ascii="Arial" w:hAnsi="Arial" w:cs="Arial"/>
          <w:color w:val="000000" w:themeColor="text1"/>
          <w:kern w:val="0"/>
          <w:szCs w:val="21"/>
          <w14:textFill>
            <w14:solidFill>
              <w14:schemeClr w14:val="tx1"/>
            </w14:solidFill>
          </w14:textFill>
        </w:rPr>
        <w:t>以上的资产投资于目标</w:t>
      </w:r>
      <w:r>
        <w:rPr>
          <w:rFonts w:ascii="Arial" w:hAnsi="Arial" w:cs="Arial"/>
          <w:color w:val="000000" w:themeColor="text1"/>
          <w:kern w:val="0"/>
          <w:szCs w:val="21"/>
          <w14:textFill>
            <w14:solidFill>
              <w14:schemeClr w14:val="tx1"/>
            </w14:solidFill>
          </w14:textFill>
        </w:rPr>
        <w:t>ETF</w:t>
      </w:r>
      <w:r>
        <w:rPr>
          <w:rFonts w:hint="eastAsia" w:ascii="Arial" w:hAnsi="Arial" w:cs="Arial"/>
          <w:color w:val="000000" w:themeColor="text1"/>
          <w:kern w:val="0"/>
          <w:szCs w:val="21"/>
          <w14:textFill>
            <w14:solidFill>
              <w14:schemeClr w14:val="tx1"/>
            </w14:solidFill>
          </w14:textFill>
        </w:rPr>
        <w:t>，采用开放式运作方式并在场外申购或赎回。</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4</w:t>
      </w:r>
      <w:r>
        <w:rPr>
          <w:rFonts w:hint="eastAsia" w:ascii="Arial" w:hAnsi="Arial" w:cs="Arial"/>
          <w:color w:val="000000" w:themeColor="text1"/>
          <w:kern w:val="0"/>
          <w:szCs w:val="21"/>
          <w14:textFill>
            <w14:solidFill>
              <w14:schemeClr w14:val="tx1"/>
            </w14:solidFill>
          </w14:textFill>
        </w:rPr>
        <w:t>）上市开放式基金</w:t>
      </w:r>
      <w:r>
        <w:rPr>
          <w:rFonts w:ascii="Arial" w:hAnsi="Arial" w:cs="Arial"/>
          <w:color w:val="000000" w:themeColor="text1"/>
          <w:kern w:val="0"/>
          <w:szCs w:val="21"/>
          <w14:textFill>
            <w14:solidFill>
              <w14:schemeClr w14:val="tx1"/>
            </w14:solidFill>
          </w14:textFill>
        </w:rPr>
        <w:t>(Listed Open-ended Funds,</w:t>
      </w:r>
      <w:r>
        <w:rPr>
          <w:rFonts w:hint="eastAsia" w:ascii="Arial" w:hAnsi="Arial" w:cs="Arial"/>
          <w:color w:val="000000" w:themeColor="text1"/>
          <w:kern w:val="0"/>
          <w:szCs w:val="21"/>
          <w14:textFill>
            <w14:solidFill>
              <w14:schemeClr w14:val="tx1"/>
            </w14:solidFill>
          </w14:textFill>
        </w:rPr>
        <w:t>简称</w:t>
      </w:r>
      <w:r>
        <w:rPr>
          <w:rFonts w:ascii="Arial" w:hAnsi="Arial" w:cs="Arial"/>
          <w:color w:val="000000" w:themeColor="text1"/>
          <w:kern w:val="0"/>
          <w:szCs w:val="21"/>
          <w14:textFill>
            <w14:solidFill>
              <w14:schemeClr w14:val="tx1"/>
            </w14:solidFill>
          </w14:textFill>
        </w:rPr>
        <w:t>“LOF”)</w:t>
      </w:r>
      <w:r>
        <w:rPr>
          <w:rFonts w:hint="eastAsia" w:ascii="Arial" w:hAnsi="Arial" w:cs="Arial"/>
          <w:color w:val="000000" w:themeColor="text1"/>
          <w:kern w:val="0"/>
          <w:szCs w:val="21"/>
          <w14:textFill>
            <w14:solidFill>
              <w14:schemeClr w14:val="tx1"/>
            </w14:solidFill>
          </w14:textFill>
        </w:rPr>
        <w:t>是一种既可以在场外市场进行基金份额申购赎回，又可以在交易所（场内市场）进行基金份额交易、申购或赎回的开放式基金。</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5</w:t>
      </w:r>
      <w:r>
        <w:rPr>
          <w:rFonts w:hint="eastAsia" w:ascii="Arial" w:hAnsi="Arial" w:cs="Arial"/>
          <w:color w:val="000000" w:themeColor="text1"/>
          <w:kern w:val="0"/>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QDII</w:t>
      </w:r>
      <w:r>
        <w:rPr>
          <w:rFonts w:hint="eastAsia" w:ascii="Arial" w:hAnsi="Arial" w:cs="Arial"/>
          <w:color w:val="000000" w:themeColor="text1"/>
          <w:kern w:val="0"/>
          <w:szCs w:val="21"/>
          <w14:textFill>
            <w14:solidFill>
              <w14:schemeClr w14:val="tx1"/>
            </w14:solidFill>
          </w14:textFill>
        </w:rPr>
        <w:t>基金。</w:t>
      </w:r>
      <w:r>
        <w:rPr>
          <w:rFonts w:ascii="Arial" w:hAnsi="Arial" w:cs="Arial"/>
          <w:color w:val="000000" w:themeColor="text1"/>
          <w:kern w:val="0"/>
          <w:szCs w:val="21"/>
          <w14:textFill>
            <w14:solidFill>
              <w14:schemeClr w14:val="tx1"/>
            </w14:solidFill>
          </w14:textFill>
        </w:rPr>
        <w:t xml:space="preserve">QDII </w:t>
      </w:r>
      <w:r>
        <w:rPr>
          <w:rFonts w:hint="eastAsia" w:ascii="Arial" w:hAnsi="Arial" w:cs="Arial"/>
          <w:color w:val="000000" w:themeColor="text1"/>
          <w:kern w:val="0"/>
          <w:szCs w:val="21"/>
          <w14:textFill>
            <w14:solidFill>
              <w14:schemeClr w14:val="tx1"/>
            </w14:solidFill>
          </w14:textFill>
        </w:rPr>
        <w:t>是</w:t>
      </w:r>
      <w:r>
        <w:rPr>
          <w:rFonts w:ascii="Arial" w:hAnsi="Arial" w:cs="Arial"/>
          <w:color w:val="000000" w:themeColor="text1"/>
          <w:kern w:val="0"/>
          <w:szCs w:val="21"/>
          <w14:textFill>
            <w14:solidFill>
              <w14:schemeClr w14:val="tx1"/>
            </w14:solidFill>
          </w14:textFill>
        </w:rPr>
        <w:t>Qualified Domestic</w:t>
      </w:r>
      <w:r>
        <w:rPr>
          <w:rFonts w:hint="eastAsia" w:ascii="Arial" w:hAnsi="Arial" w:cs="Arial"/>
          <w:color w:val="000000" w:themeColor="text1"/>
          <w:kern w:val="0"/>
          <w:szCs w:val="21"/>
          <w:lang w:val="en-US" w:eastAsia="zh-CN"/>
          <w14:textFill>
            <w14:solidFill>
              <w14:schemeClr w14:val="tx1"/>
            </w14:solidFill>
          </w14:textFill>
        </w:rPr>
        <w:t xml:space="preserve"> </w:t>
      </w:r>
      <w:r>
        <w:rPr>
          <w:rFonts w:ascii="Arial" w:hAnsi="Arial" w:cs="Arial"/>
          <w:color w:val="000000" w:themeColor="text1"/>
          <w:kern w:val="0"/>
          <w:szCs w:val="21"/>
          <w14:textFill>
            <w14:solidFill>
              <w14:schemeClr w14:val="tx1"/>
            </w14:solidFill>
          </w14:textFill>
        </w:rPr>
        <w:t>Institutional</w:t>
      </w:r>
      <w:r>
        <w:rPr>
          <w:rFonts w:hint="eastAsia" w:ascii="Arial" w:hAnsi="Arial" w:cs="Arial"/>
          <w:color w:val="000000" w:themeColor="text1"/>
          <w:kern w:val="0"/>
          <w:szCs w:val="21"/>
          <w:lang w:val="en-US" w:eastAsia="zh-CN"/>
          <w14:textFill>
            <w14:solidFill>
              <w14:schemeClr w14:val="tx1"/>
            </w14:solidFill>
          </w14:textFill>
        </w:rPr>
        <w:t xml:space="preserve"> </w:t>
      </w:r>
      <w:r>
        <w:rPr>
          <w:rFonts w:ascii="Arial" w:hAnsi="Arial" w:cs="Arial"/>
          <w:color w:val="000000" w:themeColor="text1"/>
          <w:kern w:val="0"/>
          <w:szCs w:val="21"/>
          <w14:textFill>
            <w14:solidFill>
              <w14:schemeClr w14:val="tx1"/>
            </w14:solidFill>
          </w14:textFill>
        </w:rPr>
        <w:t>Investors</w:t>
      </w:r>
      <w:r>
        <w:rPr>
          <w:rFonts w:hint="eastAsia" w:ascii="Arial" w:hAnsi="Arial" w:cs="Arial"/>
          <w:color w:val="000000" w:themeColor="text1"/>
          <w:kern w:val="0"/>
          <w:szCs w:val="21"/>
          <w14:textFill>
            <w14:solidFill>
              <w14:schemeClr w14:val="tx1"/>
            </w14:solidFill>
          </w14:textFill>
        </w:rPr>
        <w:t>的首字母缩写。它是指在一国境内设立，经该国有关部门批准从事境外证券市场的股票、债券等有价证券投资的基金。它为国内投资者参与国际市场投资提供了便利。</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ascii="Arial" w:hAnsi="Arial" w:cs="Arial"/>
          <w:color w:val="000000" w:themeColor="text1"/>
          <w:kern w:val="0"/>
          <w:szCs w:val="21"/>
          <w14:textFill>
            <w14:solidFill>
              <w14:schemeClr w14:val="tx1"/>
            </w14:solidFill>
          </w14:textFill>
        </w:rPr>
        <w:t>6</w:t>
      </w:r>
      <w:r>
        <w:rPr>
          <w:rFonts w:hint="eastAsia" w:ascii="Arial" w:hAnsi="Arial" w:cs="Arial"/>
          <w:color w:val="000000" w:themeColor="text1"/>
          <w:kern w:val="0"/>
          <w:szCs w:val="21"/>
          <w14:textFill>
            <w14:solidFill>
              <w14:schemeClr w14:val="tx1"/>
            </w14:solidFill>
          </w14:textFill>
        </w:rPr>
        <w:t>）分级基金。是指通过事先约定基金的风险收益分配，将基础份额分为预期风险收益不同的子份额，并可将其中部分或全部份额上市交易的结构化证券投资基金。</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（四）基金评级</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基金评级是依据一定标准对基金产品进行分析从而做出优劣评价。投资人在投资基金时，可以适当参考基金评级结果，但切不可把基金评级作为选择基金的唯一依据。此外，基金评级是对基金管理人过往的业绩表现做出评价，并不代表基金未来长期业绩的表现。</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hint="eastAsia" w:ascii="Arial" w:hAnsi="Arial" w:cs="Arial"/>
          <w:color w:val="000000" w:themeColor="text1"/>
          <w:kern w:val="0"/>
          <w:szCs w:val="21"/>
          <w:lang w:eastAsia="zh-CN"/>
          <w14:textFill>
            <w14:solidFill>
              <w14:schemeClr w14:val="tx1"/>
            </w14:solidFill>
          </w14:textFill>
        </w:rPr>
        <w:t>我</w:t>
      </w:r>
      <w:r>
        <w:rPr>
          <w:rFonts w:hint="eastAsia" w:ascii="Arial" w:hAnsi="Arial" w:cs="Arial"/>
          <w:color w:val="000000" w:themeColor="text1"/>
          <w:kern w:val="0"/>
          <w:szCs w:val="21"/>
          <w14:textFill>
            <w14:solidFill>
              <w14:schemeClr w14:val="tx1"/>
            </w14:solidFill>
          </w14:textFill>
        </w:rPr>
        <w:t>行将根据销售适用性原则，对基金管理人进行审慎调查，并对基金产品进行风险评价。</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（五）基金费用</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基金费用一般包括两大类：一类是在基金销售过程中发生的由基金投资人自己承担的费用，主要包括认购费、申购费、赎回费和基金转换费。这些费用一般直接在投资人认购、申购、赎回或转换时收取。其中申购费可在投资人购买基金时收取，即前端申购费；也可在投资人卖出基金时收取，即后端申购费，其费率一般按持有期限递减。另一类是在基金管理过程中发生的费用，主要包括基金管理费、基金托管费、信息披露费等，这些费用由基金资产承担。对于不收取申购、赎回费的货币市场基金和部分债券基金，还可按相关规定从基金资产中计提一定的销售服务费，专门用于本基金的销售和对基金持有人的服务。</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hint="eastAsia" w:ascii="Arial" w:hAnsi="Arial" w:cs="Arial"/>
          <w:b/>
          <w:bCs/>
          <w:color w:val="000000" w:themeColor="text1"/>
          <w:kern w:val="0"/>
          <w:szCs w:val="21"/>
          <w14:textFill>
            <w14:solidFill>
              <w14:schemeClr w14:val="tx1"/>
            </w14:solidFill>
          </w14:textFill>
        </w:rPr>
        <w:t>二、基金份额持有人的权利</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根据《证券投资基金法》第</w:t>
      </w:r>
      <w:r>
        <w:rPr>
          <w:rFonts w:ascii="Arial" w:hAnsi="Arial" w:cs="Arial"/>
          <w:color w:val="000000" w:themeColor="text1"/>
          <w:kern w:val="0"/>
          <w:szCs w:val="21"/>
          <w14:textFill>
            <w14:solidFill>
              <w14:schemeClr w14:val="tx1"/>
            </w14:solidFill>
          </w14:textFill>
        </w:rPr>
        <w:t>46</w:t>
      </w:r>
      <w:r>
        <w:rPr>
          <w:rFonts w:hint="eastAsia" w:ascii="Arial" w:hAnsi="Arial" w:cs="Arial"/>
          <w:color w:val="000000" w:themeColor="text1"/>
          <w:kern w:val="0"/>
          <w:szCs w:val="21"/>
          <w14:textFill>
            <w14:solidFill>
              <w14:schemeClr w14:val="tx1"/>
            </w14:solidFill>
          </w14:textFill>
        </w:rPr>
        <w:t>条的规定，基金份额持有人享有下列权利：</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（一）分享基金财产收益；</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（二）参与分配清算后的剩余基金财产；</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（三）依法转让或申请赎回其持有的基金份额；</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（四）按照规定要求召开基金份额持有人大会或者召集基金份额持有人大会；</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（五）对基金份额持有人大会审议事项行使表决权；</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（六）对基金管理人、基金托管人、基金服务机构损害其合法权益的行为依法提起诉讼；</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（七）基金合同约定的其它权利。</w:t>
      </w:r>
    </w:p>
    <w:p>
      <w:pPr>
        <w:widowControl/>
        <w:spacing w:line="360" w:lineRule="auto"/>
        <w:ind w:firstLine="420" w:firstLineChars="200"/>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公开募集基金的基金份额持有人有权查阅或者复制公开披露的基金信息资料；非公开募集基金的基金份额持有人对涉及自身利益的情况，有权查阅基金的财务会计账簿等财务资料。</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hint="eastAsia" w:ascii="Arial" w:hAnsi="Arial" w:cs="Arial"/>
          <w:b/>
          <w:bCs/>
          <w:color w:val="000000" w:themeColor="text1"/>
          <w:kern w:val="0"/>
          <w:szCs w:val="21"/>
          <w14:textFill>
            <w14:solidFill>
              <w14:schemeClr w14:val="tx1"/>
            </w14:solidFill>
          </w14:textFill>
        </w:rPr>
        <w:t>三、基金投资风险提示</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b/>
          <w:bCs/>
          <w:color w:val="000000" w:themeColor="text1"/>
          <w:kern w:val="0"/>
          <w:szCs w:val="21"/>
          <w14:textFill>
            <w14:solidFill>
              <w14:schemeClr w14:val="tx1"/>
            </w14:solidFill>
          </w14:textFill>
        </w:rPr>
        <w:t>　　</w:t>
      </w:r>
      <w:r>
        <w:rPr>
          <w:rFonts w:hint="eastAsia" w:ascii="Arial" w:hAnsi="Arial" w:cs="Arial"/>
          <w:color w:val="000000" w:themeColor="text1"/>
          <w:kern w:val="0"/>
          <w:szCs w:val="21"/>
          <w14:textFill>
            <w14:solidFill>
              <w14:schemeClr w14:val="tx1"/>
            </w14:solidFill>
          </w14:textFill>
        </w:rPr>
        <w:t>（一）证券投资基金是一种理财工具，其主要功能是分散投资，降低投资单一证券所带来的个别风险。基金不同于银行储蓄和债券等能够提供固定收益预期的金融工具，投资人购买基金，</w:t>
      </w:r>
      <w:r>
        <w:rPr>
          <w:rFonts w:hint="eastAsia" w:ascii="Arial" w:hAnsi="Arial" w:cs="Arial"/>
          <w:b/>
          <w:bCs/>
          <w:color w:val="000000" w:themeColor="text1"/>
          <w:kern w:val="0"/>
          <w:szCs w:val="21"/>
          <w14:textFill>
            <w14:solidFill>
              <w14:schemeClr w14:val="tx1"/>
            </w14:solidFill>
          </w14:textFill>
        </w:rPr>
        <w:t>既可能按其持有份额分享基金投资所产生的收益，也可能承担基金投资所带来的损失。</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二）基金在投资运作过程中可能面临各种风险，既包括市场风险，也包括基金自身的管理风险、技术风险和合规风险等。巨额赎回风险是开放式基金所特有的一种风险，即当单个交易日基金的净赎回申请超过基金总份额的百分之十时，</w:t>
      </w:r>
      <w:r>
        <w:rPr>
          <w:rFonts w:hint="eastAsia" w:ascii="Arial" w:hAnsi="Arial" w:cs="Arial"/>
          <w:b/>
          <w:bCs/>
          <w:color w:val="000000" w:themeColor="text1"/>
          <w:kern w:val="0"/>
          <w:szCs w:val="21"/>
          <w14:textFill>
            <w14:solidFill>
              <w14:schemeClr w14:val="tx1"/>
            </w14:solidFill>
          </w14:textFill>
        </w:rPr>
        <w:t>投资人将可能无法及时赎回持有的全部基金份额。</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（三）基金投资人应当充分了解基金定期定额投资和零存整取等储蓄方式的区别。定期定额投资是引导投资人进行长期投资、平均投资成本的一种简单易行的投资方式，但并不能规避基金投资所固有的风险，</w:t>
      </w:r>
      <w:r>
        <w:rPr>
          <w:rFonts w:hint="eastAsia" w:ascii="Arial" w:hAnsi="Arial" w:cs="Arial"/>
          <w:b/>
          <w:bCs/>
          <w:color w:val="000000" w:themeColor="text1"/>
          <w:kern w:val="0"/>
          <w:szCs w:val="21"/>
          <w14:textFill>
            <w14:solidFill>
              <w14:schemeClr w14:val="tx1"/>
            </w14:solidFill>
          </w14:textFill>
        </w:rPr>
        <w:t>不能保证投资人获得收益，也不是替代储蓄的等效理财方式。</w:t>
      </w: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（四）基金管理人承诺以诚实守信、勤勉尽责的原则管理和运用基金资产，</w:t>
      </w:r>
      <w:r>
        <w:rPr>
          <w:rFonts w:hint="eastAsia" w:ascii="Arial" w:hAnsi="Arial" w:cs="Arial"/>
          <w:b/>
          <w:bCs/>
          <w:color w:val="000000" w:themeColor="text1"/>
          <w:kern w:val="0"/>
          <w:szCs w:val="21"/>
          <w14:textFill>
            <w14:solidFill>
              <w14:schemeClr w14:val="tx1"/>
            </w14:solidFill>
          </w14:textFill>
        </w:rPr>
        <w:t>但不保证旗下基金一定盈利，也不保证最低收益。</w:t>
      </w:r>
      <w:r>
        <w:rPr>
          <w:rFonts w:hint="eastAsia" w:ascii="Arial" w:hAnsi="Arial" w:cs="Arial"/>
          <w:color w:val="000000" w:themeColor="text1"/>
          <w:kern w:val="0"/>
          <w:szCs w:val="21"/>
          <w14:textFill>
            <w14:solidFill>
              <w14:schemeClr w14:val="tx1"/>
            </w14:solidFill>
          </w14:textFill>
        </w:rPr>
        <w:t>旗下基金的过往业绩及其净值高低并不预示其未来业绩表现。基金管理人提醒投资人基金投资的</w:t>
      </w:r>
      <w:r>
        <w:rPr>
          <w:rFonts w:ascii="Arial" w:hAnsi="Arial" w:cs="Arial"/>
          <w:b/>
          <w:bCs/>
          <w:color w:val="000000" w:themeColor="text1"/>
          <w:kern w:val="0"/>
          <w:szCs w:val="21"/>
          <w14:textFill>
            <w14:solidFill>
              <w14:schemeClr w14:val="tx1"/>
            </w14:solidFill>
          </w14:textFill>
        </w:rPr>
        <w:t>“</w:t>
      </w:r>
      <w:r>
        <w:rPr>
          <w:rFonts w:hint="eastAsia" w:ascii="Arial" w:hAnsi="Arial" w:cs="Arial"/>
          <w:b/>
          <w:bCs/>
          <w:color w:val="000000" w:themeColor="text1"/>
          <w:kern w:val="0"/>
          <w:szCs w:val="21"/>
          <w14:textFill>
            <w14:solidFill>
              <w14:schemeClr w14:val="tx1"/>
            </w14:solidFill>
          </w14:textFill>
        </w:rPr>
        <w:t>买者自负</w:t>
      </w:r>
      <w:r>
        <w:rPr>
          <w:rFonts w:ascii="Arial" w:hAnsi="Arial" w:cs="Arial"/>
          <w:b/>
          <w:bCs/>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原则，在做出投资决策后，基金运营状况与基金净值变化引致的投资风险，</w:t>
      </w:r>
      <w:r>
        <w:rPr>
          <w:rFonts w:hint="eastAsia" w:ascii="Arial" w:hAnsi="Arial" w:cs="Arial"/>
          <w:b/>
          <w:bCs/>
          <w:color w:val="000000" w:themeColor="text1"/>
          <w:kern w:val="0"/>
          <w:szCs w:val="21"/>
          <w14:textFill>
            <w14:solidFill>
              <w14:schemeClr w14:val="tx1"/>
            </w14:solidFill>
          </w14:textFill>
        </w:rPr>
        <w:t>由投资人自行负担。</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（五）</w:t>
      </w:r>
      <w:r>
        <w:rPr>
          <w:rFonts w:hint="eastAsia" w:ascii="Arial" w:hAnsi="Arial" w:cs="Arial"/>
          <w:color w:val="000000" w:themeColor="text1"/>
          <w:kern w:val="0"/>
          <w:szCs w:val="21"/>
          <w:lang w:eastAsia="zh-CN"/>
          <w14:textFill>
            <w14:solidFill>
              <w14:schemeClr w14:val="tx1"/>
            </w14:solidFill>
          </w14:textFill>
        </w:rPr>
        <w:t>我行</w:t>
      </w:r>
      <w:r>
        <w:rPr>
          <w:rFonts w:hint="eastAsia" w:ascii="Arial" w:hAnsi="Arial" w:cs="Arial"/>
          <w:color w:val="000000" w:themeColor="text1"/>
          <w:kern w:val="0"/>
          <w:szCs w:val="21"/>
          <w14:textFill>
            <w14:solidFill>
              <w14:schemeClr w14:val="tx1"/>
            </w14:solidFill>
          </w14:textFill>
        </w:rPr>
        <w:t>将对基金投资人的风险承受能力进行调查和评价，并根据基金投资人的风险承受能力推荐相应的基金品种，但我行所做的推荐仅供投资人参考，</w:t>
      </w:r>
      <w:r>
        <w:rPr>
          <w:rFonts w:hint="eastAsia" w:ascii="Arial" w:hAnsi="Arial" w:cs="Arial"/>
          <w:b/>
          <w:bCs/>
          <w:color w:val="000000" w:themeColor="text1"/>
          <w:kern w:val="0"/>
          <w:szCs w:val="21"/>
          <w14:textFill>
            <w14:solidFill>
              <w14:schemeClr w14:val="tx1"/>
            </w14:solidFill>
          </w14:textFill>
        </w:rPr>
        <w:t>投资人应根据自身风险承受能力选择基金产品并自行承担投资基金的风险。</w:t>
      </w:r>
    </w:p>
    <w:p>
      <w:pPr>
        <w:widowControl/>
        <w:spacing w:before="240" w:line="405" w:lineRule="atLeast"/>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w:t>
      </w:r>
      <w:r>
        <w:rPr>
          <w:rFonts w:hint="eastAsia" w:ascii="Arial" w:hAnsi="Arial" w:cs="Arial"/>
          <w:b/>
          <w:bCs/>
          <w:color w:val="000000" w:themeColor="text1"/>
          <w:kern w:val="0"/>
          <w:szCs w:val="21"/>
          <w14:textFill>
            <w14:solidFill>
              <w14:schemeClr w14:val="tx1"/>
            </w14:solidFill>
          </w14:textFill>
        </w:rPr>
        <w:t xml:space="preserve">  四、服务内容和收费方式</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我</w:t>
      </w:r>
      <w:r>
        <w:rPr>
          <w:rFonts w:hint="eastAsia" w:ascii="宋体" w:hAnsi="宋体" w:cs="宋体"/>
          <w:color w:val="000000" w:themeColor="text1"/>
          <w:kern w:val="0"/>
          <w:szCs w:val="21"/>
          <w:lang w:eastAsia="zh-CN"/>
          <w14:textFill>
            <w14:solidFill>
              <w14:schemeClr w14:val="tx1"/>
            </w14:solidFill>
          </w14:textFill>
        </w:rPr>
        <w:t>行</w:t>
      </w:r>
      <w:r>
        <w:rPr>
          <w:rFonts w:hint="eastAsia" w:ascii="宋体" w:hAnsi="宋体" w:cs="宋体"/>
          <w:color w:val="000000" w:themeColor="text1"/>
          <w:kern w:val="0"/>
          <w:szCs w:val="21"/>
          <w14:textFill>
            <w14:solidFill>
              <w14:schemeClr w14:val="tx1"/>
            </w14:solidFill>
          </w14:textFill>
        </w:rPr>
        <w:t>向基金投资人提供以下服务：     </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 对基金投资人的风险承受能力进行调查和评价。     </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 基金销售业务，包括基金（资金）账户开户、基金申（认）购、基金赎回、基金转换、定额定投、修改基金分红方式等。我</w:t>
      </w:r>
      <w:r>
        <w:rPr>
          <w:rFonts w:hint="eastAsia" w:ascii="宋体" w:hAnsi="宋体" w:cs="宋体"/>
          <w:color w:val="000000" w:themeColor="text1"/>
          <w:kern w:val="0"/>
          <w:szCs w:val="21"/>
          <w:lang w:eastAsia="zh-CN"/>
          <w14:textFill>
            <w14:solidFill>
              <w14:schemeClr w14:val="tx1"/>
            </w14:solidFill>
          </w14:textFill>
        </w:rPr>
        <w:t>行</w:t>
      </w:r>
      <w:r>
        <w:rPr>
          <w:rFonts w:hint="eastAsia" w:ascii="宋体" w:hAnsi="宋体" w:cs="宋体"/>
          <w:color w:val="000000" w:themeColor="text1"/>
          <w:kern w:val="0"/>
          <w:szCs w:val="21"/>
          <w14:textFill>
            <w14:solidFill>
              <w14:schemeClr w14:val="tx1"/>
            </w14:solidFill>
          </w14:textFill>
        </w:rPr>
        <w:t>根据每只基金的发行公告及基金管理公司发布的其它相关公告收取相应的申（认）购、 赎回费和转换费。    </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 基金网上交易服务。    </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基金投资咨询服务（可选项）。</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基金净值、分红提示、交易确认等短信服务（可选项）。</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电话咨询服务（可选项）。</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（七）</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基金知识普及和风险教育。</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（以上服务内容涉及收费的，各基金销售机构要明示收费方式）</w:t>
      </w:r>
    </w:p>
    <w:p>
      <w:pPr>
        <w:widowControl/>
        <w:shd w:val="clear" w:color="auto" w:fill="FFFFFF"/>
        <w:ind w:firstLine="422" w:firstLineChars="200"/>
        <w:jc w:val="left"/>
        <w:rPr>
          <w:rFonts w:hint="eastAsia" w:ascii="宋体" w:hAnsi="宋体" w:cs="宋体"/>
          <w:b/>
          <w:bCs/>
          <w:color w:val="000000" w:themeColor="text1"/>
          <w:kern w:val="0"/>
          <w:szCs w:val="21"/>
          <w14:textFill>
            <w14:solidFill>
              <w14:schemeClr w14:val="tx1"/>
            </w14:solidFill>
          </w14:textFill>
        </w:rPr>
      </w:pPr>
    </w:p>
    <w:p>
      <w:pPr>
        <w:widowControl/>
        <w:shd w:val="clear" w:color="auto" w:fill="FFFFFF"/>
        <w:ind w:firstLine="422" w:firstLineChars="200"/>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五、基金交易业务流程     </w:t>
      </w:r>
    </w:p>
    <w:p>
      <w:pPr>
        <w:widowControl/>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投资者可以在</w:t>
      </w:r>
      <w:r>
        <w:rPr>
          <w:rFonts w:hint="eastAsia" w:ascii="宋体" w:hAnsi="宋体" w:cs="宋体"/>
          <w:color w:val="000000" w:themeColor="text1"/>
          <w:kern w:val="0"/>
          <w:szCs w:val="21"/>
          <w:lang w:eastAsia="zh-CN"/>
          <w14:textFill>
            <w14:solidFill>
              <w14:schemeClr w14:val="tx1"/>
            </w14:solidFill>
          </w14:textFill>
        </w:rPr>
        <w:t>我行</w:t>
      </w:r>
      <w:r>
        <w:rPr>
          <w:rFonts w:hint="eastAsia" w:ascii="宋体" w:hAnsi="宋体" w:cs="宋体"/>
          <w:color w:val="000000" w:themeColor="text1"/>
          <w:kern w:val="0"/>
          <w:szCs w:val="21"/>
          <w14:textFill>
            <w14:solidFill>
              <w14:schemeClr w14:val="tx1"/>
            </w14:solidFill>
          </w14:textFill>
        </w:rPr>
        <w:t>电子银行（</w:t>
      </w:r>
      <w:r>
        <w:rPr>
          <w:rFonts w:hint="eastAsia" w:ascii="宋体" w:hAnsi="宋体" w:cs="宋体"/>
          <w:color w:val="000000" w:themeColor="text1"/>
          <w:kern w:val="0"/>
          <w:szCs w:val="21"/>
          <w:lang w:eastAsia="zh-CN"/>
          <w14:textFill>
            <w14:solidFill>
              <w14:schemeClr w14:val="tx1"/>
            </w14:solidFill>
          </w14:textFill>
        </w:rPr>
        <w:t>民泰</w:t>
      </w:r>
      <w:r>
        <w:rPr>
          <w:rFonts w:hint="eastAsia" w:ascii="宋体" w:hAnsi="宋体" w:cs="宋体"/>
          <w:color w:val="000000" w:themeColor="text1"/>
          <w:kern w:val="0"/>
          <w:szCs w:val="21"/>
          <w14:textFill>
            <w14:solidFill>
              <w14:schemeClr w14:val="tx1"/>
            </w14:solidFill>
          </w14:textFill>
        </w:rPr>
        <w:t>银行</w:t>
      </w:r>
      <w:r>
        <w:rPr>
          <w:rFonts w:hint="eastAsia" w:ascii="宋体" w:hAnsi="宋体" w:cs="宋体"/>
          <w:color w:val="000000" w:themeColor="text1"/>
          <w:kern w:val="0"/>
          <w:szCs w:val="21"/>
          <w:lang w:eastAsia="zh-CN"/>
          <w14:textFill>
            <w14:solidFill>
              <w14:schemeClr w14:val="tx1"/>
            </w14:solidFill>
          </w14:textFill>
        </w:rPr>
        <w:t>手机银行</w:t>
      </w:r>
      <w:r>
        <w:rPr>
          <w:rFonts w:hint="eastAsia" w:ascii="宋体" w:hAnsi="宋体" w:cs="宋体"/>
          <w:color w:val="000000" w:themeColor="text1"/>
          <w:kern w:val="0"/>
          <w:szCs w:val="21"/>
          <w14:textFill>
            <w14:solidFill>
              <w14:schemeClr w14:val="tx1"/>
            </w14:solidFill>
          </w14:textFill>
        </w:rPr>
        <w:t>）渠道办理该业务。相关业务流程包括：基金开户、资料修改、基金认/申购、基金赎回、基金查询、基金转换、基金定期定额申购等。</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投资人在认/申购之前，须</w:t>
      </w:r>
      <w:r>
        <w:rPr>
          <w:rFonts w:hint="eastAsia" w:ascii="宋体" w:hAnsi="宋体" w:cs="宋体"/>
          <w:color w:val="000000" w:themeColor="text1"/>
          <w:kern w:val="0"/>
          <w:szCs w:val="21"/>
          <w:lang w:eastAsia="zh-CN"/>
          <w14:textFill>
            <w14:solidFill>
              <w14:schemeClr w14:val="tx1"/>
            </w14:solidFill>
          </w14:textFill>
        </w:rPr>
        <w:t>完成基金签约和风险评估，并</w:t>
      </w:r>
      <w:r>
        <w:rPr>
          <w:rFonts w:hint="eastAsia" w:ascii="宋体" w:hAnsi="宋体" w:cs="宋体"/>
          <w:color w:val="000000" w:themeColor="text1"/>
          <w:kern w:val="0"/>
          <w:szCs w:val="21"/>
          <w14:textFill>
            <w14:solidFill>
              <w14:schemeClr w14:val="tx1"/>
            </w14:solidFill>
          </w14:textFill>
        </w:rPr>
        <w:t>将认/申购资金全额汇入或存入我行基金资金专户。</w:t>
      </w:r>
    </w:p>
    <w:p>
      <w:pPr>
        <w:pStyle w:val="2"/>
        <w:rPr>
          <w:rFonts w:hint="eastAsia"/>
        </w:rPr>
      </w:pPr>
      <w:r>
        <w:rPr>
          <w:rFonts w:hint="eastAsia" w:ascii="宋体" w:hAnsi="宋体" w:cs="宋体"/>
          <w:color w:val="000000" w:themeColor="text1"/>
          <w:kern w:val="0"/>
          <w:szCs w:val="21"/>
          <w14:textFill>
            <w14:solidFill>
              <w14:schemeClr w14:val="tx1"/>
            </w14:solidFill>
          </w14:textFill>
        </w:rPr>
        <w:t>投资人应保证用于认/申购的资金来源合法并仔细审查确定所认/申购的产品是否适合自己。投资人应有权自行支配，不存在任何法律、合约或其他障碍。</w:t>
      </w:r>
    </w:p>
    <w:p>
      <w:pPr>
        <w:widowControl/>
        <w:numPr>
          <w:ilvl w:val="0"/>
          <w:numId w:val="2"/>
        </w:numPr>
        <w:shd w:val="clear" w:color="auto" w:fill="FFFFFF"/>
        <w:ind w:firstLine="420" w:firstLineChars="200"/>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基金</w:t>
      </w:r>
      <w:r>
        <w:rPr>
          <w:rFonts w:hint="eastAsia" w:ascii="宋体" w:hAnsi="宋体" w:cs="宋体"/>
          <w:color w:val="000000" w:themeColor="text1"/>
          <w:kern w:val="0"/>
          <w:szCs w:val="21"/>
          <w:lang w:eastAsia="zh-CN"/>
          <w14:textFill>
            <w14:solidFill>
              <w14:schemeClr w14:val="tx1"/>
            </w14:solidFill>
          </w14:textFill>
        </w:rPr>
        <w:t>签约和风险评估</w:t>
      </w:r>
    </w:p>
    <w:p>
      <w:pPr>
        <w:pStyle w:val="2"/>
        <w:widowControl/>
        <w:numPr>
          <w:ilvl w:val="0"/>
          <w:numId w:val="3"/>
        </w:numPr>
        <w:shd w:val="clear" w:color="auto" w:fill="FFFFFF"/>
        <w:ind w:firstLine="420" w:firstLineChars="200"/>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投资人登录我行手机银行，进入基金市场，可进行签约、风险评估，还可以做签约信息变更、签约卡号变更、销户、解约等交易。</w:t>
      </w:r>
    </w:p>
    <w:p>
      <w:pPr>
        <w:widowControl/>
        <w:numPr>
          <w:ilvl w:val="0"/>
          <w:numId w:val="2"/>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基金购买</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投资人登录我行手机银行，在基金市场选择适合自己的基金产品，按照我行手机银行基金购买手续（风险承受能力匹配确认、协议阅读等环节）进行基金认/申购交易，（首次购买默认同步提交开户申请）。</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kern w:val="0"/>
          <w:sz w:val="21"/>
          <w:szCs w:val="21"/>
          <w:lang w:eastAsia="zh-CN"/>
        </w:rPr>
        <w:t>我行</w:t>
      </w:r>
      <w:r>
        <w:rPr>
          <w:rFonts w:hint="eastAsia" w:ascii="宋体" w:hAnsi="宋体" w:eastAsia="宋体" w:cs="宋体"/>
          <w:color w:val="000000"/>
          <w:kern w:val="0"/>
          <w:sz w:val="21"/>
          <w:szCs w:val="21"/>
        </w:rPr>
        <w:t>对认</w:t>
      </w:r>
      <w:r>
        <w:rPr>
          <w:rFonts w:hint="eastAsia" w:ascii="宋体" w:hAnsi="宋体" w:cs="宋体"/>
          <w:color w:val="000000"/>
          <w:kern w:val="0"/>
          <w:sz w:val="21"/>
          <w:szCs w:val="21"/>
          <w:lang w:val="en-US" w:eastAsia="zh-CN"/>
        </w:rPr>
        <w:t>/申</w:t>
      </w:r>
      <w:r>
        <w:rPr>
          <w:rFonts w:hint="eastAsia" w:ascii="宋体" w:hAnsi="宋体" w:eastAsia="宋体" w:cs="宋体"/>
          <w:color w:val="000000"/>
          <w:kern w:val="0"/>
          <w:sz w:val="21"/>
          <w:szCs w:val="21"/>
        </w:rPr>
        <w:t>购申请的受理并不代表该申请一定成功，而仅代表</w:t>
      </w:r>
      <w:r>
        <w:rPr>
          <w:rFonts w:hint="eastAsia" w:ascii="宋体" w:hAnsi="宋体" w:cs="宋体"/>
          <w:color w:val="000000"/>
          <w:kern w:val="0"/>
          <w:sz w:val="21"/>
          <w:szCs w:val="21"/>
          <w:lang w:eastAsia="zh-CN"/>
        </w:rPr>
        <w:t>我行</w:t>
      </w:r>
      <w:r>
        <w:rPr>
          <w:rFonts w:hint="eastAsia" w:ascii="宋体" w:hAnsi="宋体" w:eastAsia="宋体" w:cs="宋体"/>
          <w:color w:val="000000"/>
          <w:kern w:val="0"/>
          <w:sz w:val="21"/>
          <w:szCs w:val="21"/>
        </w:rPr>
        <w:t>收到了</w:t>
      </w:r>
      <w:r>
        <w:rPr>
          <w:rFonts w:hint="eastAsia" w:ascii="宋体" w:hAnsi="宋体" w:cs="宋体"/>
          <w:color w:val="000000"/>
          <w:kern w:val="0"/>
          <w:sz w:val="21"/>
          <w:szCs w:val="21"/>
          <w:lang w:eastAsia="zh-CN"/>
        </w:rPr>
        <w:t>该</w:t>
      </w:r>
      <w:r>
        <w:rPr>
          <w:rFonts w:hint="eastAsia" w:ascii="宋体" w:hAnsi="宋体" w:eastAsia="宋体" w:cs="宋体"/>
          <w:color w:val="000000"/>
          <w:kern w:val="0"/>
          <w:sz w:val="21"/>
          <w:szCs w:val="21"/>
        </w:rPr>
        <w:t>申请，申请的成功与否以登记机构的确认结果为准。</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（三）基金定投</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投资人登录我行手机银行，在基金市场选择适合自己的基金产品，按照我行手机银行基金定投手续进行定投计划</w:t>
      </w:r>
      <w:r>
        <w:rPr>
          <w:rFonts w:hint="eastAsia" w:ascii="宋体" w:hAnsi="宋体" w:cs="宋体"/>
          <w:color w:val="000000" w:themeColor="text1"/>
          <w:kern w:val="0"/>
          <w:szCs w:val="21"/>
          <w:lang w:val="en-US" w:eastAsia="zh-CN"/>
          <w14:textFill>
            <w14:solidFill>
              <w14:schemeClr w14:val="tx1"/>
            </w14:solidFill>
          </w14:textFill>
        </w:rPr>
        <w:t>设置及</w:t>
      </w:r>
      <w:r>
        <w:rPr>
          <w:rFonts w:hint="default" w:ascii="宋体" w:hAnsi="宋体" w:cs="宋体"/>
          <w:color w:val="000000" w:themeColor="text1"/>
          <w:kern w:val="0"/>
          <w:szCs w:val="21"/>
          <w:lang w:val="en-US" w:eastAsia="zh-CN"/>
          <w14:textFill>
            <w14:solidFill>
              <w14:schemeClr w14:val="tx1"/>
            </w14:solidFill>
          </w14:textFill>
        </w:rPr>
        <w:t>开通，开通后可对定投计划进行查看、修改等。</w:t>
      </w:r>
    </w:p>
    <w:p>
      <w:pPr>
        <w:widowControl/>
        <w:numPr>
          <w:ilvl w:val="-1"/>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（四）基金赎回、转换及变更分红方式</w:t>
      </w:r>
    </w:p>
    <w:p>
      <w:pPr>
        <w:widowControl/>
        <w:numPr>
          <w:ilvl w:val="-1"/>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投资人登录我行手机银行</w:t>
      </w:r>
      <w:r>
        <w:rPr>
          <w:rFonts w:hint="eastAsia" w:ascii="宋体" w:hAnsi="宋体" w:cs="宋体"/>
          <w:color w:val="000000" w:themeColor="text1"/>
          <w:kern w:val="0"/>
          <w:szCs w:val="21"/>
          <w:lang w:val="en-US" w:eastAsia="zh-CN"/>
          <w14:textFill>
            <w14:solidFill>
              <w14:schemeClr w14:val="tx1"/>
            </w14:solidFill>
          </w14:textFill>
        </w:rPr>
        <w:t>，可以查看已及购买基金产品情况、保有份额、浮动盈亏等，并按照我行手机银行相关手续进行赎回、转换、变更分红方式等操作。</w:t>
      </w:r>
    </w:p>
    <w:p>
      <w:pPr>
        <w:widowControl/>
        <w:numPr>
          <w:ilvl w:val="-1"/>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投资人提交赎回申请时，其在我行必须有足够的相应份额类别的基金份额余额，否则所提交的赎回申请无效而不予成交。</w:t>
      </w:r>
    </w:p>
    <w:p>
      <w:pPr>
        <w:widowControl/>
        <w:numPr>
          <w:ilvl w:val="-1"/>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设置分红方式和基金转换对于已特别规定了某基金的分红方式和转换条件的除外。</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（五） 基金撤单</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投资人登录我行手机银行</w:t>
      </w:r>
      <w:r>
        <w:rPr>
          <w:rFonts w:hint="eastAsia" w:ascii="宋体" w:hAnsi="宋体" w:cs="宋体"/>
          <w:color w:val="000000" w:themeColor="text1"/>
          <w:kern w:val="0"/>
          <w:szCs w:val="21"/>
          <w:lang w:val="en-US" w:eastAsia="zh-CN"/>
          <w14:textFill>
            <w14:solidFill>
              <w14:schemeClr w14:val="tx1"/>
            </w14:solidFill>
          </w14:textFill>
        </w:rPr>
        <w:t>，基金持仓页面，可查询“交易记录”，选择需要撤单的当日交易，提交撤单申请即可。</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撤单条件：购买/赎回/转换的基金，（T日）15:00前交易的，在（T日）15:00前可撤单；（T日）15:00后交易的，在（T+1日）15:00前可撤单。定投暂不支持撤单。</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（六）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eastAsia="zh-CN"/>
          <w14:textFill>
            <w14:solidFill>
              <w14:schemeClr w14:val="tx1"/>
            </w14:solidFill>
          </w14:textFill>
        </w:rPr>
        <w:t>基金查询</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w:t>
      </w: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持有收益：为客户当前持有的基金收益总和，不包含赎回部分。</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累计收益：为客户所投资过的基金收益总和，包含持有和赎回部分。</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收益明细查询：可查看各基金的收益明细，已清仓基金无资产详情。</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交易记录查询：交易记录可根据交易类型、交易状态、交易时间进行筛选查询。</w:t>
      </w:r>
    </w:p>
    <w:p>
      <w:pPr>
        <w:widowControl/>
        <w:numPr>
          <w:ilvl w:val="0"/>
          <w:numId w:val="0"/>
        </w:numPr>
        <w:shd w:val="clear" w:color="auto" w:fill="FFFFFF"/>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default"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定投列表查询：通过定投列表可查看定投详情、交易记录详情、已终止的定投计划等。</w:t>
      </w:r>
    </w:p>
    <w:p>
      <w:pPr>
        <w:widowControl/>
        <w:numPr>
          <w:ilvl w:val="0"/>
          <w:numId w:val="0"/>
        </w:numPr>
        <w:shd w:val="clear" w:color="auto" w:fill="FFFFFF"/>
        <w:ind w:firstLine="420" w:firstLineChars="200"/>
        <w:jc w:val="left"/>
        <w:rPr>
          <w:rFonts w:hint="default"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（七）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eastAsia="zh-CN"/>
          <w14:textFill>
            <w14:solidFill>
              <w14:schemeClr w14:val="tx1"/>
            </w14:solidFill>
          </w14:textFill>
        </w:rPr>
        <w:t>基金</w:t>
      </w:r>
      <w:r>
        <w:rPr>
          <w:rFonts w:hint="default" w:ascii="宋体" w:hAnsi="宋体" w:cs="宋体"/>
          <w:color w:val="000000" w:themeColor="text1"/>
          <w:kern w:val="0"/>
          <w:szCs w:val="21"/>
          <w:lang w:eastAsia="zh-CN"/>
          <w14:textFill>
            <w14:solidFill>
              <w14:schemeClr w14:val="tx1"/>
            </w14:solidFill>
          </w14:textFill>
        </w:rPr>
        <w:t>非交易过户</w:t>
      </w:r>
    </w:p>
    <w:p>
      <w:pPr>
        <w:widowControl/>
        <w:numPr>
          <w:ilvl w:val="0"/>
          <w:numId w:val="0"/>
        </w:numPr>
        <w:shd w:val="clear" w:color="auto" w:fill="FFFFFF"/>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基金非交易过户</w:t>
      </w:r>
      <w:r>
        <w:rPr>
          <w:rFonts w:hint="default" w:ascii="宋体" w:hAnsi="宋体" w:cs="宋体"/>
          <w:color w:val="000000" w:themeColor="text1"/>
          <w:kern w:val="0"/>
          <w:szCs w:val="21"/>
          <w:lang w:val="en-US" w:eastAsia="zh-CN"/>
          <w14:textFill>
            <w14:solidFill>
              <w14:schemeClr w14:val="tx1"/>
            </w14:solidFill>
          </w14:textFill>
        </w:rPr>
        <w:t>是指由于司法强制执行或由于继承、捐赠等原因，不采用申购赎回等基金交易方式，将某一基金账户的份额全部或者部分直接划转至另一个基金账户的过户业务。</w:t>
      </w:r>
    </w:p>
    <w:p>
      <w:pPr>
        <w:widowControl/>
        <w:numPr>
          <w:ilvl w:val="0"/>
          <w:numId w:val="0"/>
        </w:numPr>
        <w:shd w:val="clear" w:color="auto" w:fill="FFFFFF"/>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投资者申请办理非交易过户，转入方必须已开设基金账户，过户所涉的基金份额应当是未予以质押或设定了其他限制的份额。因继承、捐赠等原因而发生的非交易过户申请，应当根据基金管理公司要求，提交继承公证书（注：若继承人为多个，公证书需明示每个人继承受让的具体份额）或捐赠公证书等相关资料。基金管理人收到非交易过户相关材料并审核通过后处理非交易过户申请并将相关信息通知投资者。</w:t>
      </w:r>
    </w:p>
    <w:p>
      <w:pPr>
        <w:widowControl/>
        <w:spacing w:before="240" w:line="405" w:lineRule="atLeas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以上业务受理并不表明投资人的交易得以确认，确认应以注册登记机构的确认结果为准，投资人在T+2日可以到我行柜面或通过电子渠道查询交易确认情况。</w:t>
      </w:r>
    </w:p>
    <w:p>
      <w:pPr>
        <w:widowControl/>
        <w:spacing w:before="240" w:line="405" w:lineRule="atLeast"/>
        <w:jc w:val="left"/>
        <w:rPr>
          <w:rFonts w:ascii="Arial" w:hAnsi="Arial" w:cs="Arial"/>
          <w:b/>
          <w:bCs/>
          <w:color w:val="000000" w:themeColor="text1"/>
          <w:kern w:val="0"/>
          <w:szCs w:val="21"/>
          <w14:textFill>
            <w14:solidFill>
              <w14:schemeClr w14:val="tx1"/>
            </w14:solidFill>
          </w14:textFill>
        </w:rPr>
      </w:pPr>
      <w:r>
        <w:rPr>
          <w:rFonts w:hint="eastAsia" w:ascii="Arial" w:hAnsi="Arial" w:cs="Arial"/>
          <w:b/>
          <w:bCs/>
          <w:color w:val="000000" w:themeColor="text1"/>
          <w:kern w:val="0"/>
          <w:szCs w:val="21"/>
          <w14:textFill>
            <w14:solidFill>
              <w14:schemeClr w14:val="tx1"/>
            </w14:solidFill>
          </w14:textFill>
        </w:rPr>
        <w:t>　　　六、投诉处理和联系方式</w:t>
      </w:r>
    </w:p>
    <w:p>
      <w:pPr>
        <w:widowControl/>
        <w:spacing w:before="240" w:line="405" w:lineRule="atLeast"/>
        <w:ind w:firstLine="420" w:firstLineChars="200"/>
        <w:jc w:val="left"/>
        <w:rPr>
          <w:rFonts w:hint="eastAsia" w:ascii="Arial" w:hAnsi="Arial" w:cs="Arial"/>
          <w:color w:val="000000" w:themeColor="text1"/>
          <w:kern w:val="0"/>
          <w:szCs w:val="21"/>
          <w:lang w:eastAsia="zh-CN"/>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一）基金投资人可以通过拨打我行客户服务中心电话或以书信、传真、电子邮件等方式，对营业网点所提供的服务提出建议或投诉。对于工作日受理的投诉，原则上当日回复，不能当日回复的，在3个工作日内回复。对于非工作日受理的投诉，原则上在顺延的第一个工作日回复，不能及时回复的，在3个工作日内回复。</w:t>
      </w:r>
      <w:r>
        <w:rPr>
          <w:rFonts w:hint="eastAsia" w:ascii="Arial" w:hAnsi="Arial" w:cs="Arial"/>
          <w:color w:val="000000" w:themeColor="text1"/>
          <w:kern w:val="0"/>
          <w:szCs w:val="21"/>
          <w:lang w:eastAsia="zh-CN"/>
          <w14:textFill>
            <w14:solidFill>
              <w14:schemeClr w14:val="tx1"/>
            </w14:solidFill>
          </w14:textFill>
        </w:rPr>
        <w:t>我行客服中心投诉或联系方式如下：</w:t>
      </w:r>
    </w:p>
    <w:p>
      <w:pPr>
        <w:widowControl/>
        <w:spacing w:before="240" w:line="405" w:lineRule="atLeast"/>
        <w:ind w:firstLine="420" w:firstLineChars="200"/>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网址：</w:t>
      </w:r>
      <w:r>
        <w:rPr>
          <w:rFonts w:hint="eastAsia" w:ascii="Arial" w:hAnsi="Arial" w:cs="Arial"/>
          <w:color w:val="000000" w:themeColor="text1"/>
          <w:kern w:val="0"/>
          <w:szCs w:val="21"/>
          <w14:textFill>
            <w14:solidFill>
              <w14:schemeClr w14:val="tx1"/>
            </w14:solidFill>
          </w14:textFill>
        </w:rPr>
        <w:fldChar w:fldCharType="begin"/>
      </w:r>
      <w:r>
        <w:rPr>
          <w:rFonts w:hint="eastAsia" w:ascii="Arial" w:hAnsi="Arial" w:cs="Arial"/>
          <w:color w:val="000000" w:themeColor="text1"/>
          <w:kern w:val="0"/>
          <w:szCs w:val="21"/>
          <w14:textFill>
            <w14:solidFill>
              <w14:schemeClr w14:val="tx1"/>
            </w14:solidFill>
          </w14:textFill>
        </w:rPr>
        <w:instrText xml:space="preserve"> HYPERLINK "http://www.mintaibank.com/" </w:instrText>
      </w:r>
      <w:r>
        <w:rPr>
          <w:rFonts w:hint="eastAsia" w:ascii="Arial" w:hAnsi="Arial" w:cs="Arial"/>
          <w:color w:val="000000" w:themeColor="text1"/>
          <w:kern w:val="0"/>
          <w:szCs w:val="21"/>
          <w14:textFill>
            <w14:solidFill>
              <w14:schemeClr w14:val="tx1"/>
            </w14:solidFill>
          </w14:textFill>
        </w:rPr>
        <w:fldChar w:fldCharType="separate"/>
      </w:r>
      <w:r>
        <w:rPr>
          <w:rFonts w:hint="eastAsia" w:ascii="Arial" w:hAnsi="Arial" w:cs="Arial"/>
          <w:color w:val="000000" w:themeColor="text1"/>
          <w:kern w:val="0"/>
          <w:szCs w:val="21"/>
          <w14:textFill>
            <w14:solidFill>
              <w14:schemeClr w14:val="tx1"/>
            </w14:solidFill>
          </w14:textFill>
        </w:rPr>
        <w:t>www.mintaibank.com</w:t>
      </w:r>
      <w:r>
        <w:rPr>
          <w:rFonts w:hint="eastAsia" w:ascii="Arial" w:hAnsi="Arial" w:cs="Arial"/>
          <w:color w:val="000000" w:themeColor="text1"/>
          <w:kern w:val="0"/>
          <w:szCs w:val="21"/>
          <w14:textFill>
            <w14:solidFill>
              <w14:schemeClr w14:val="tx1"/>
            </w14:solidFill>
          </w14:textFill>
        </w:rPr>
        <w:fldChar w:fldCharType="end"/>
      </w:r>
    </w:p>
    <w:p>
      <w:pPr>
        <w:widowControl/>
        <w:spacing w:before="240" w:line="405" w:lineRule="atLeast"/>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客户服务中心电话：95343</w:t>
      </w:r>
    </w:p>
    <w:p>
      <w:pPr>
        <w:widowControl/>
        <w:spacing w:before="240" w:line="405" w:lineRule="atLeast"/>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地址：浙江省温岭市三星大道168号</w:t>
      </w:r>
    </w:p>
    <w:p>
      <w:pPr>
        <w:widowControl/>
        <w:spacing w:before="240" w:line="405" w:lineRule="atLeast"/>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邮编：317500</w:t>
      </w:r>
    </w:p>
    <w:p>
      <w:pPr>
        <w:pStyle w:val="2"/>
        <w:rPr>
          <w:rFonts w:hint="eastAsia"/>
          <w:lang w:eastAsia="zh-CN"/>
        </w:rPr>
      </w:pPr>
    </w:p>
    <w:p>
      <w:pPr>
        <w:widowControl/>
        <w:spacing w:before="240" w:line="405" w:lineRule="atLeas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　　（二）基金投资人也可通过书信、传真、电子邮件等方式，向中国证监会和中国证券投资基金业协会投诉。联系方式如下：</w:t>
      </w:r>
    </w:p>
    <w:p>
      <w:pPr>
        <w:widowControl/>
        <w:spacing w:before="240" w:line="405" w:lineRule="atLeast"/>
        <w:ind w:firstLine="420" w:firstLineChars="200"/>
        <w:jc w:val="left"/>
        <w:rPr>
          <w:rFonts w:hint="eastAsia" w:ascii="Arial" w:hAnsi="Arial" w:eastAsia="宋体" w:cs="Arial"/>
          <w:color w:val="000000" w:themeColor="text1"/>
          <w:kern w:val="0"/>
          <w:szCs w:val="21"/>
          <w:lang w:val="en-US" w:eastAsia="zh-CN"/>
          <w14:textFill>
            <w14:solidFill>
              <w14:schemeClr w14:val="tx1"/>
            </w14:solidFill>
          </w14:textFill>
        </w:rPr>
      </w:pPr>
      <w:r>
        <w:rPr>
          <w:rFonts w:ascii="Arial" w:hAnsi="Arial" w:cs="Arial"/>
          <w:color w:val="000000" w:themeColor="text1"/>
          <w:kern w:val="0"/>
          <w:szCs w:val="21"/>
          <w14:textFill>
            <w14:solidFill>
              <w14:schemeClr w14:val="tx1"/>
            </w14:solidFill>
          </w14:textFill>
        </w:rPr>
        <w:t>中国证监会北京监管局：网址：</w:t>
      </w:r>
      <w:r>
        <w:rPr>
          <w:rFonts w:hint="default" w:ascii="Arial" w:hAnsi="Arial" w:cs="Arial"/>
          <w:color w:val="000000" w:themeColor="text1"/>
          <w:kern w:val="0"/>
          <w:szCs w:val="21"/>
          <w14:textFill>
            <w14:solidFill>
              <w14:schemeClr w14:val="tx1"/>
            </w14:solidFill>
          </w14:textFill>
        </w:rPr>
        <w:fldChar w:fldCharType="begin"/>
      </w:r>
      <w:r>
        <w:rPr>
          <w:rFonts w:hint="default" w:ascii="Arial" w:hAnsi="Arial" w:cs="Arial"/>
          <w:color w:val="000000" w:themeColor="text1"/>
          <w:kern w:val="0"/>
          <w:szCs w:val="21"/>
          <w14:textFill>
            <w14:solidFill>
              <w14:schemeClr w14:val="tx1"/>
            </w14:solidFill>
          </w14:textFill>
        </w:rPr>
        <w:instrText xml:space="preserve"> HYPERLINK "http://mail.mtbank.com/coremail/XT5/jsp/www.csrc.gov.cn%EF%BC%8C%E7%94%B5%E8%AF%9D%EF%BC%9A010%EF%BC%8D88088086%EF%BC%8C%E4%BC%A0%E7%9C%9F%EF%BC%9A010-88088012%EF%BC%8C%E5%9C%B0%E5%9D%80%EF%BC%9A%E5%8C%97%E4%BA%AC%E5%B8%82%E8%A5%BF%E5%9F%8E%E5%8C%BA%E9%87%91%E8%9E%8D%E8%A1%9733%E5%8F%B7%E9%80%9A%E6%B3%B0%E5%A4%A7%E5%8E%A6B%E5%BA%A710%E5%B1%82%EF%BC%8C%E9%82%AE%E7%BC%96%EF%BC%9A100033" </w:instrText>
      </w:r>
      <w:r>
        <w:rPr>
          <w:rFonts w:hint="default" w:ascii="Arial" w:hAnsi="Arial" w:cs="Arial"/>
          <w:color w:val="000000" w:themeColor="text1"/>
          <w:kern w:val="0"/>
          <w:szCs w:val="21"/>
          <w14:textFill>
            <w14:solidFill>
              <w14:schemeClr w14:val="tx1"/>
            </w14:solidFill>
          </w14:textFill>
        </w:rPr>
        <w:fldChar w:fldCharType="separate"/>
      </w:r>
      <w:r>
        <w:rPr>
          <w:rFonts w:hint="default" w:ascii="Arial" w:hAnsi="Arial" w:cs="Arial"/>
          <w:color w:val="000000" w:themeColor="text1"/>
          <w:kern w:val="0"/>
          <w:szCs w:val="21"/>
          <w14:textFill>
            <w14:solidFill>
              <w14:schemeClr w14:val="tx1"/>
            </w14:solidFill>
          </w14:textFill>
        </w:rPr>
        <w:t>www.csrc.gov.cn，电话：</w:t>
      </w:r>
      <w:r>
        <w:rPr>
          <w:rFonts w:hint="eastAsia" w:ascii="Arial" w:hAnsi="Arial" w:cs="Arial"/>
          <w:color w:val="000000" w:themeColor="text1"/>
          <w:kern w:val="0"/>
          <w:szCs w:val="21"/>
          <w:lang w:val="en-US" w:eastAsia="zh-CN"/>
          <w14:textFill>
            <w14:solidFill>
              <w14:schemeClr w14:val="tx1"/>
            </w14:solidFill>
          </w14:textFill>
        </w:rPr>
        <w:t>12386</w:t>
      </w:r>
      <w:r>
        <w:rPr>
          <w:rFonts w:hint="default" w:ascii="Arial" w:hAnsi="Arial" w:cs="Arial"/>
          <w:color w:val="000000" w:themeColor="text1"/>
          <w:kern w:val="0"/>
          <w:szCs w:val="21"/>
          <w14:textFill>
            <w14:solidFill>
              <w14:schemeClr w14:val="tx1"/>
            </w14:solidFill>
          </w14:textFill>
        </w:rPr>
        <w:t>，地址：北京市西城区金融</w:t>
      </w:r>
      <w:r>
        <w:rPr>
          <w:rFonts w:hint="eastAsia" w:ascii="Arial" w:hAnsi="Arial" w:cs="Arial"/>
          <w:color w:val="000000" w:themeColor="text1"/>
          <w:kern w:val="0"/>
          <w:szCs w:val="21"/>
          <w:lang w:eastAsia="zh-CN"/>
          <w14:textFill>
            <w14:solidFill>
              <w14:schemeClr w14:val="tx1"/>
            </w14:solidFill>
          </w14:textFill>
        </w:rPr>
        <w:t>大街</w:t>
      </w:r>
      <w:r>
        <w:rPr>
          <w:rFonts w:hint="eastAsia" w:ascii="Arial" w:hAnsi="Arial" w:cs="Arial"/>
          <w:color w:val="000000" w:themeColor="text1"/>
          <w:kern w:val="0"/>
          <w:szCs w:val="21"/>
          <w:lang w:val="en-US" w:eastAsia="zh-CN"/>
          <w14:textFill>
            <w14:solidFill>
              <w14:schemeClr w14:val="tx1"/>
            </w14:solidFill>
          </w14:textFill>
        </w:rPr>
        <w:t>19号富凯大厦</w:t>
      </w:r>
      <w:r>
        <w:rPr>
          <w:rFonts w:hint="default" w:ascii="Arial" w:hAnsi="Arial" w:cs="Arial"/>
          <w:color w:val="000000" w:themeColor="text1"/>
          <w:kern w:val="0"/>
          <w:szCs w:val="21"/>
          <w14:textFill>
            <w14:solidFill>
              <w14:schemeClr w14:val="tx1"/>
            </w14:solidFill>
          </w14:textFill>
        </w:rPr>
        <w:t>，邮编：100033</w:t>
      </w:r>
      <w:r>
        <w:rPr>
          <w:rFonts w:hint="default" w:ascii="Arial" w:hAnsi="Arial" w:cs="Arial"/>
          <w:color w:val="000000" w:themeColor="text1"/>
          <w:kern w:val="0"/>
          <w:szCs w:val="21"/>
          <w14:textFill>
            <w14:solidFill>
              <w14:schemeClr w14:val="tx1"/>
            </w14:solidFill>
          </w14:textFill>
        </w:rPr>
        <w:fldChar w:fldCharType="end"/>
      </w:r>
      <w:r>
        <w:rPr>
          <w:rFonts w:hint="eastAsia" w:ascii="Arial" w:hAnsi="Arial" w:cs="Arial"/>
          <w:color w:val="000000" w:themeColor="text1"/>
          <w:kern w:val="0"/>
          <w:szCs w:val="21"/>
          <w:lang w:eastAsia="zh-CN"/>
          <w14:textFill>
            <w14:solidFill>
              <w14:schemeClr w14:val="tx1"/>
            </w14:solidFill>
          </w14:textFill>
        </w:rPr>
        <w:t>。</w:t>
      </w:r>
    </w:p>
    <w:p>
      <w:pPr>
        <w:widowControl/>
        <w:spacing w:before="240" w:line="405" w:lineRule="atLeas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中国证券投资基金业协会：网址：</w:t>
      </w:r>
      <w:r>
        <w:rPr>
          <w:rFonts w:ascii="Arial" w:hAnsi="Arial" w:cs="Arial"/>
          <w:color w:val="000000" w:themeColor="text1"/>
          <w:kern w:val="0"/>
          <w:szCs w:val="21"/>
          <w14:textFill>
            <w14:solidFill>
              <w14:schemeClr w14:val="tx1"/>
            </w14:solidFill>
          </w14:textFill>
        </w:rPr>
        <w:t>www.amac.org.cn</w:t>
      </w:r>
      <w:r>
        <w:rPr>
          <w:rFonts w:hint="eastAsia" w:ascii="Arial" w:hAnsi="Arial" w:cs="Arial"/>
          <w:color w:val="000000" w:themeColor="text1"/>
          <w:kern w:val="0"/>
          <w:szCs w:val="21"/>
          <w14:textFill>
            <w14:solidFill>
              <w14:schemeClr w14:val="tx1"/>
            </w14:solidFill>
          </w14:textFill>
        </w:rPr>
        <w:t>，电子邮箱</w:t>
      </w:r>
      <w:r>
        <w:rPr>
          <w:rFonts w:ascii="Arial" w:hAnsi="Arial" w:cs="Arial"/>
          <w:color w:val="000000" w:themeColor="text1"/>
          <w:kern w:val="0"/>
          <w:szCs w:val="21"/>
          <w14:textFill>
            <w14:solidFill>
              <w14:schemeClr w14:val="tx1"/>
            </w14:solidFill>
          </w14:textFill>
        </w:rPr>
        <w:t>tousu@amac.org.cn</w:t>
      </w:r>
      <w:r>
        <w:rPr>
          <w:rFonts w:hint="eastAsia" w:ascii="Arial" w:hAnsi="Arial" w:cs="Arial"/>
          <w:color w:val="000000" w:themeColor="text1"/>
          <w:kern w:val="0"/>
          <w:szCs w:val="21"/>
          <w14:textFill>
            <w14:solidFill>
              <w14:schemeClr w14:val="tx1"/>
            </w14:solidFill>
          </w14:textFill>
        </w:rPr>
        <w:t>，地址：北京市西城区金融大街</w:t>
      </w:r>
      <w:r>
        <w:rPr>
          <w:rFonts w:ascii="Arial" w:hAnsi="Arial" w:cs="Arial"/>
          <w:color w:val="000000" w:themeColor="text1"/>
          <w:kern w:val="0"/>
          <w:szCs w:val="21"/>
          <w14:textFill>
            <w14:solidFill>
              <w14:schemeClr w14:val="tx1"/>
            </w14:solidFill>
          </w14:textFill>
        </w:rPr>
        <w:t>22</w:t>
      </w:r>
      <w:r>
        <w:rPr>
          <w:rFonts w:hint="eastAsia" w:ascii="Arial" w:hAnsi="Arial" w:cs="Arial"/>
          <w:color w:val="000000" w:themeColor="text1"/>
          <w:kern w:val="0"/>
          <w:szCs w:val="21"/>
          <w14:textFill>
            <w14:solidFill>
              <w14:schemeClr w14:val="tx1"/>
            </w14:solidFill>
          </w14:textFill>
        </w:rPr>
        <w:t>号交通银行大厦</w:t>
      </w:r>
      <w:r>
        <w:rPr>
          <w:rFonts w:ascii="Arial" w:hAnsi="Arial" w:cs="Arial"/>
          <w:color w:val="000000" w:themeColor="text1"/>
          <w:kern w:val="0"/>
          <w:szCs w:val="21"/>
          <w14:textFill>
            <w14:solidFill>
              <w14:schemeClr w14:val="tx1"/>
            </w14:solidFill>
          </w14:textFill>
        </w:rPr>
        <w:t>B</w:t>
      </w:r>
      <w:r>
        <w:rPr>
          <w:rFonts w:hint="eastAsia" w:ascii="Arial" w:hAnsi="Arial" w:cs="Arial"/>
          <w:color w:val="000000" w:themeColor="text1"/>
          <w:kern w:val="0"/>
          <w:szCs w:val="21"/>
          <w14:textFill>
            <w14:solidFill>
              <w14:schemeClr w14:val="tx1"/>
            </w14:solidFill>
          </w14:textFill>
        </w:rPr>
        <w:t>座</w:t>
      </w:r>
      <w:r>
        <w:rPr>
          <w:rFonts w:ascii="Arial" w:hAnsi="Arial" w:cs="Arial"/>
          <w:color w:val="000000" w:themeColor="text1"/>
          <w:kern w:val="0"/>
          <w:szCs w:val="21"/>
          <w14:textFill>
            <w14:solidFill>
              <w14:schemeClr w14:val="tx1"/>
            </w14:solidFill>
          </w14:textFill>
        </w:rPr>
        <w:t>9</w:t>
      </w:r>
      <w:r>
        <w:rPr>
          <w:rFonts w:hint="eastAsia" w:ascii="Arial" w:hAnsi="Arial" w:cs="Arial"/>
          <w:color w:val="000000" w:themeColor="text1"/>
          <w:kern w:val="0"/>
          <w:szCs w:val="21"/>
          <w14:textFill>
            <w14:solidFill>
              <w14:schemeClr w14:val="tx1"/>
            </w14:solidFill>
          </w14:textFill>
        </w:rPr>
        <w:t>层，邮编：</w:t>
      </w:r>
      <w:r>
        <w:rPr>
          <w:rFonts w:ascii="Arial" w:hAnsi="Arial" w:cs="Arial"/>
          <w:color w:val="000000" w:themeColor="text1"/>
          <w:kern w:val="0"/>
          <w:szCs w:val="21"/>
          <w14:textFill>
            <w14:solidFill>
              <w14:schemeClr w14:val="tx1"/>
            </w14:solidFill>
          </w14:textFill>
        </w:rPr>
        <w:t>100033</w:t>
      </w:r>
      <w:r>
        <w:rPr>
          <w:rFonts w:hint="eastAsia" w:ascii="Arial" w:hAnsi="Arial" w:cs="Arial"/>
          <w:color w:val="000000" w:themeColor="text1"/>
          <w:kern w:val="0"/>
          <w:szCs w:val="21"/>
          <w14:textFill>
            <w14:solidFill>
              <w14:schemeClr w14:val="tx1"/>
            </w14:solidFill>
          </w14:textFill>
        </w:rPr>
        <w:t>电话：</w:t>
      </w:r>
      <w:r>
        <w:rPr>
          <w:rFonts w:ascii="Arial" w:hAnsi="Arial" w:cs="Arial"/>
          <w:color w:val="000000" w:themeColor="text1"/>
          <w:kern w:val="0"/>
          <w:szCs w:val="21"/>
          <w14:textFill>
            <w14:solidFill>
              <w14:schemeClr w14:val="tx1"/>
            </w14:solidFill>
          </w14:textFill>
        </w:rPr>
        <w:t>010-58352888</w:t>
      </w:r>
      <w:r>
        <w:rPr>
          <w:rFonts w:hint="eastAsia" w:ascii="Arial" w:hAnsi="Arial" w:cs="Arial"/>
          <w:color w:val="000000" w:themeColor="text1"/>
          <w:kern w:val="0"/>
          <w:szCs w:val="21"/>
          <w14:textFill>
            <w14:solidFill>
              <w14:schemeClr w14:val="tx1"/>
            </w14:solidFill>
          </w14:textFill>
        </w:rPr>
        <w:t>（中国证券投资者呼叫中心）、</w:t>
      </w:r>
      <w:r>
        <w:rPr>
          <w:rFonts w:ascii="Arial" w:hAnsi="Arial" w:cs="Arial"/>
          <w:color w:val="000000" w:themeColor="text1"/>
          <w:kern w:val="0"/>
          <w:szCs w:val="21"/>
          <w14:textFill>
            <w14:solidFill>
              <w14:schemeClr w14:val="tx1"/>
            </w14:solidFill>
          </w14:textFill>
        </w:rPr>
        <w:t>www.sipf.com(</w:t>
      </w:r>
      <w:r>
        <w:rPr>
          <w:rFonts w:hint="eastAsia" w:ascii="Arial" w:hAnsi="Arial" w:cs="Arial"/>
          <w:color w:val="000000" w:themeColor="text1"/>
          <w:kern w:val="0"/>
          <w:szCs w:val="21"/>
          <w14:textFill>
            <w14:solidFill>
              <w14:schemeClr w14:val="tx1"/>
            </w14:solidFill>
          </w14:textFill>
        </w:rPr>
        <w:t>中国证券投资者保护网</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w:t>
      </w:r>
    </w:p>
    <w:p>
      <w:pPr>
        <w:widowControl/>
        <w:spacing w:before="240" w:line="405" w:lineRule="atLeast"/>
        <w:ind w:firstLine="420"/>
        <w:jc w:val="left"/>
      </w:pPr>
      <w:r>
        <w:rPr>
          <w:rFonts w:hint="eastAsia" w:ascii="Arial" w:hAnsi="Arial" w:cs="Arial"/>
          <w:color w:val="000000" w:themeColor="text1"/>
          <w:kern w:val="0"/>
          <w:szCs w:val="21"/>
          <w14:textFill>
            <w14:solidFill>
              <w14:schemeClr w14:val="tx1"/>
            </w14:solidFill>
          </w14:textFill>
        </w:rPr>
        <w:t>（三）因履行本协议引起的或与本协议有关的任何争议，由协议签订各方协商解决；协商不成的，</w:t>
      </w:r>
      <w:r>
        <w:rPr>
          <w:rFonts w:hint="eastAsia" w:ascii="Arial" w:hAnsi="Arial" w:cs="Arial"/>
          <w:b/>
          <w:bCs/>
          <w:color w:val="000000" w:themeColor="text1"/>
          <w:kern w:val="0"/>
          <w:szCs w:val="21"/>
          <w14:textFill>
            <w14:solidFill>
              <w14:schemeClr w14:val="tx1"/>
            </w14:solidFill>
          </w14:textFill>
        </w:rPr>
        <w:t>各方一致同意提请向原告所在地人民法院提起诉讼。</w:t>
      </w:r>
      <w:r>
        <w:rPr>
          <w:rFonts w:hint="eastAsia" w:ascii="Arial" w:hAnsi="Arial" w:cs="Arial"/>
          <w:color w:val="000000" w:themeColor="text1"/>
          <w:kern w:val="0"/>
          <w:szCs w:val="21"/>
          <w14:textFill>
            <w14:solidFill>
              <w14:schemeClr w14:val="tx1"/>
            </w14:solidFill>
          </w14:textFill>
        </w:rPr>
        <w:t>投资者所投资基金的《基金合同》另有规定的，按其规定处理。</w:t>
      </w:r>
    </w:p>
    <w:p>
      <w:pPr>
        <w:widowControl/>
        <w:spacing w:before="240" w:line="405" w:lineRule="atLeast"/>
        <w:ind w:firstLine="422" w:firstLineChars="200"/>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b/>
          <w:bCs/>
          <w:color w:val="000000" w:themeColor="text1"/>
          <w:kern w:val="0"/>
          <w:szCs w:val="21"/>
          <w14:textFill>
            <w14:solidFill>
              <w14:schemeClr w14:val="tx1"/>
            </w14:solidFill>
          </w14:textFill>
        </w:rPr>
        <w:t>投资人在投资基金前应认真阅读《基金合同》、《招募说明书》等基金法律文件，选择与自身风险承受能力相适应的基金。</w:t>
      </w:r>
      <w:r>
        <w:rPr>
          <w:rFonts w:hint="eastAsia" w:ascii="Arial" w:hAnsi="Arial" w:cs="Arial"/>
          <w:color w:val="000000" w:themeColor="text1"/>
          <w:kern w:val="0"/>
          <w:szCs w:val="21"/>
          <w14:textFill>
            <w14:solidFill>
              <w14:schemeClr w14:val="tx1"/>
            </w14:solidFill>
          </w14:textFill>
        </w:rPr>
        <w:t>我</w:t>
      </w:r>
      <w:r>
        <w:rPr>
          <w:rFonts w:hint="eastAsia" w:ascii="Arial" w:hAnsi="Arial" w:cs="Arial"/>
          <w:color w:val="000000" w:themeColor="text1"/>
          <w:kern w:val="0"/>
          <w:szCs w:val="21"/>
          <w:lang w:eastAsia="zh-CN"/>
          <w14:textFill>
            <w14:solidFill>
              <w14:schemeClr w14:val="tx1"/>
            </w14:solidFill>
          </w14:textFill>
        </w:rPr>
        <w:t>行和基金管理人</w:t>
      </w:r>
      <w:r>
        <w:rPr>
          <w:rFonts w:hint="eastAsia" w:ascii="Arial" w:hAnsi="Arial" w:cs="Arial"/>
          <w:color w:val="000000" w:themeColor="text1"/>
          <w:kern w:val="0"/>
          <w:szCs w:val="21"/>
          <w14:textFill>
            <w14:solidFill>
              <w14:schemeClr w14:val="tx1"/>
            </w14:solidFill>
          </w14:textFill>
        </w:rPr>
        <w:t>承诺投资人利益优先，以诚实信用、勤勉尽责的态度为投资人提供服务，</w:t>
      </w:r>
      <w:r>
        <w:rPr>
          <w:rFonts w:hint="eastAsia" w:ascii="Arial" w:hAnsi="Arial" w:cs="Arial"/>
          <w:b/>
          <w:bCs/>
          <w:color w:val="000000" w:themeColor="text1"/>
          <w:kern w:val="0"/>
          <w:szCs w:val="21"/>
          <w14:textFill>
            <w14:solidFill>
              <w14:schemeClr w14:val="tx1"/>
            </w14:solidFill>
          </w14:textFill>
        </w:rPr>
        <w:t>但不能保证基金一定盈利，也不能保证基金的最低收益。</w:t>
      </w:r>
      <w:r>
        <w:rPr>
          <w:rFonts w:hint="eastAsia" w:ascii="Arial" w:hAnsi="Arial" w:cs="Arial"/>
          <w:color w:val="000000" w:themeColor="text1"/>
          <w:kern w:val="0"/>
          <w:szCs w:val="21"/>
          <w14:textFill>
            <w14:solidFill>
              <w14:schemeClr w14:val="tx1"/>
            </w14:solidFill>
          </w14:textFill>
        </w:rPr>
        <w:t>投资人可登录中国证监会网站（</w:t>
      </w:r>
      <w:r>
        <w:rPr>
          <w:rFonts w:ascii="Arial" w:hAnsi="Arial" w:cs="Arial"/>
          <w:color w:val="000000" w:themeColor="text1"/>
          <w:kern w:val="0"/>
          <w:szCs w:val="21"/>
          <w14:textFill>
            <w14:solidFill>
              <w14:schemeClr w14:val="tx1"/>
            </w14:solidFill>
          </w14:textFill>
        </w:rPr>
        <w:t>www.csrc.gov.cn</w:t>
      </w:r>
      <w:r>
        <w:rPr>
          <w:rFonts w:hint="eastAsia"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lang w:eastAsia="zh-CN"/>
          <w14:textFill>
            <w14:solidFill>
              <w14:schemeClr w14:val="tx1"/>
            </w14:solidFill>
          </w14:textFill>
        </w:rPr>
        <w:t>或中国证券投资基金业协会（</w:t>
      </w:r>
      <w:r>
        <w:rPr>
          <w:rFonts w:hint="eastAsia" w:ascii="Arial" w:hAnsi="Arial" w:cs="Arial"/>
          <w:color w:val="000000" w:themeColor="text1"/>
          <w:kern w:val="0"/>
          <w:szCs w:val="21"/>
          <w:lang w:val="en-US" w:eastAsia="zh-CN"/>
          <w14:textFill>
            <w14:solidFill>
              <w14:schemeClr w14:val="tx1"/>
            </w14:solidFill>
          </w14:textFill>
        </w:rPr>
        <w:t>www.amac.org.cn)</w:t>
      </w:r>
      <w:r>
        <w:rPr>
          <w:rFonts w:hint="eastAsia" w:ascii="Arial" w:hAnsi="Arial" w:cs="Arial"/>
          <w:color w:val="000000" w:themeColor="text1"/>
          <w:kern w:val="0"/>
          <w:szCs w:val="21"/>
          <w14:textFill>
            <w14:solidFill>
              <w14:schemeClr w14:val="tx1"/>
            </w14:solidFill>
          </w14:textFill>
        </w:rPr>
        <w:t>查询基金销售机构名录，核实我行基金销售资格。</w:t>
      </w:r>
    </w:p>
    <w:p>
      <w:pPr>
        <w:widowControl/>
        <w:spacing w:before="240" w:line="405" w:lineRule="atLeast"/>
        <w:ind w:firstLine="420" w:firstLineChars="200"/>
        <w:jc w:val="left"/>
        <w:rPr>
          <w:color w:val="000000" w:themeColor="text1"/>
          <w14:textFill>
            <w14:solidFill>
              <w14:schemeClr w14:val="tx1"/>
            </w14:solidFill>
          </w14:textFill>
        </w:rPr>
      </w:pPr>
      <w:r>
        <w:rPr>
          <w:rFonts w:hint="eastAsia" w:ascii="Arial" w:hAnsi="Arial" w:cs="Arial"/>
          <w:color w:val="000000" w:themeColor="text1"/>
          <w:kern w:val="0"/>
          <w:szCs w:val="21"/>
          <w:lang w:eastAsia="zh-CN"/>
          <w14:textFill>
            <w14:solidFill>
              <w14:schemeClr w14:val="tx1"/>
            </w14:solidFill>
          </w14:textFill>
        </w:rPr>
        <w:t>本《须知》有关内容将根据法律法规及监管机构或行业协会的要求或我行业务情况变化不时修订，相关修订以我行更新为准。</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b/>
        <w:bCs/>
        <w:color w:val="FF0000"/>
      </w:rPr>
    </w:pPr>
    <w:r>
      <w:rPr>
        <w:b/>
        <w:bCs/>
        <w:color w:val="FF000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cvzLgBAABU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6jhLHLY7o8PPH4enl8PydNL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oIcvzLgBAABUAwAADgAAAAAAAAABACAAAAAeAQAAZHJzL2Uyb0RvYy54bWxQSwUGAAAAAAYABgBZ&#10;AQAASAU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b/>
        <w:bCs/>
        <w:color w:val="FF0000"/>
      </w:rPr>
      <w:t>全国服务热线（投诉电话）：95343</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b/>
        <w:bCs/>
        <w:color w:val="FF0000"/>
      </w:rPr>
    </w:pPr>
    <w:r>
      <w:rPr>
        <w:b/>
        <w:bCs/>
        <w:color w:val="FF000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b/>
        <w:bCs/>
        <w:color w:val="FF0000"/>
      </w:rPr>
      <w:t>全国服务热线（投诉电话）：95343</w:t>
    </w:r>
  </w:p>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7EA51"/>
    <w:multiLevelType w:val="singleLevel"/>
    <w:tmpl w:val="F087EA51"/>
    <w:lvl w:ilvl="0" w:tentative="0">
      <w:start w:val="2"/>
      <w:numFmt w:val="chineseCounting"/>
      <w:suff w:val="nothing"/>
      <w:lvlText w:val="（%1）"/>
      <w:lvlJc w:val="left"/>
      <w:pPr>
        <w:ind w:left="420" w:leftChars="0" w:firstLine="0" w:firstLineChars="0"/>
      </w:pPr>
      <w:rPr>
        <w:rFonts w:hint="eastAsia"/>
      </w:rPr>
    </w:lvl>
  </w:abstractNum>
  <w:abstractNum w:abstractNumId="1">
    <w:nsid w:val="5B9C76AB"/>
    <w:multiLevelType w:val="singleLevel"/>
    <w:tmpl w:val="5B9C76AB"/>
    <w:lvl w:ilvl="0" w:tentative="0">
      <w:start w:val="1"/>
      <w:numFmt w:val="chineseCounting"/>
      <w:suff w:val="nothing"/>
      <w:lvlText w:val="（%1）"/>
      <w:lvlJc w:val="left"/>
      <w:rPr>
        <w:rFonts w:hint="eastAsia"/>
      </w:rPr>
    </w:lvl>
  </w:abstractNum>
  <w:abstractNum w:abstractNumId="2">
    <w:nsid w:val="5F1C3F90"/>
    <w:multiLevelType w:val="singleLevel"/>
    <w:tmpl w:val="5F1C3F9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B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next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沈斯诺</cp:lastModifiedBy>
  <dcterms:modified xsi:type="dcterms:W3CDTF">2024-07-29T06:17:13Z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